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1E1B7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Контрольно-счетная комиссия</w:t>
      </w:r>
    </w:p>
    <w:p w14:paraId="2D38082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Богородского муниципального округа Нижегородской области</w:t>
      </w:r>
    </w:p>
    <w:p w14:paraId="363D173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0128345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Заключение</w:t>
      </w:r>
    </w:p>
    <w:p w14:paraId="534E901F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проект решения Совета депутатов Богородского муниципального округа Нижегородской области «О внесении изменений в решение Совета депутатов Богородского муниципального округа Нижегородской области от 11.12.2025 № 148 «О бюджете Богородского муниципального округа Нижегородской области на 2026 год и на плановый период 2027 и 2028 годов»»</w:t>
      </w:r>
    </w:p>
    <w:p w14:paraId="2A5FDFD5">
      <w:pPr>
        <w:shd w:val="clear" w:color="auto" w:fill="FFFFFF"/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Контрольно-счетной комиссией Богородского муниципального округа в соответствии с Бюджетным кодексом РФ, Федеральным законом </w:t>
      </w:r>
      <w:r>
        <w:rPr>
          <w:rFonts w:ascii="Times New Roman" w:hAnsi="Times New Roman"/>
          <w:color w:val="000000"/>
          <w:sz w:val="26"/>
          <w:szCs w:val="26"/>
        </w:rPr>
        <w:t xml:space="preserve">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>
        <w:rPr>
          <w:rFonts w:ascii="Times New Roman" w:hAnsi="Times New Roman"/>
          <w:sz w:val="26"/>
          <w:szCs w:val="26"/>
        </w:rPr>
        <w:t>решением Совета депутатов Богородского муниципального округа Нижегородской области</w:t>
      </w:r>
      <w:r>
        <w:rPr>
          <w:rFonts w:ascii="Times New Roman" w:hAnsi="Times New Roman"/>
          <w:color w:val="000000"/>
          <w:sz w:val="26"/>
          <w:szCs w:val="26"/>
        </w:rPr>
        <w:t xml:space="preserve"> от 09.10.2020 № 26 «</w:t>
      </w:r>
      <w:r>
        <w:rPr>
          <w:rFonts w:ascii="Times New Roman" w:hAnsi="Times New Roman"/>
          <w:bCs/>
          <w:sz w:val="26"/>
          <w:szCs w:val="26"/>
        </w:rPr>
        <w:t>Об утверждении Положения о бюджетном процессе в Богородском муниципальном округе Нижегородской области»,</w:t>
      </w:r>
      <w:r>
        <w:rPr>
          <w:rFonts w:ascii="Times New Roman" w:hAnsi="Times New Roman"/>
          <w:sz w:val="26"/>
          <w:szCs w:val="26"/>
        </w:rPr>
        <w:t xml:space="preserve"> Положением о контрольно-счетной комиссии Богородского муниципального округа Нижегородской области, утвержденным решением Совета депутатов Богородского муниципального округа Нижегородской области от 16.12.2021 № 203 проведена экспертиза проекта решения Совета депутатов Богородского муниципального округа Нижегородской области «О внесении изменений в решение Совета депутатов Богородского муниципального округа Нижегородской области от 11.12.2025 № 148 «</w:t>
      </w:r>
      <w:r>
        <w:rPr>
          <w:rFonts w:ascii="Times New Roman" w:hAnsi="Times New Roman"/>
          <w:color w:val="000000"/>
          <w:sz w:val="26"/>
          <w:szCs w:val="26"/>
        </w:rPr>
        <w:t>О бюджете Богородского муниципального округа Нижегородской области на 2026 год и на плановый период 2027 и 2028 годов</w:t>
      </w:r>
      <w:r>
        <w:rPr>
          <w:rFonts w:ascii="Times New Roman" w:hAnsi="Times New Roman"/>
          <w:sz w:val="26"/>
          <w:szCs w:val="26"/>
        </w:rPr>
        <w:t>»» (далее – проект решения).</w:t>
      </w:r>
    </w:p>
    <w:p w14:paraId="26F7EA35">
      <w:pPr>
        <w:pStyle w:val="190"/>
        <w:numPr>
          <w:ilvl w:val="0"/>
          <w:numId w:val="1"/>
        </w:numPr>
        <w:shd w:val="clear" w:color="auto" w:fill="FFFFFF"/>
        <w:spacing w:line="240" w:lineRule="auto"/>
        <w:ind w:left="0" w:firstLine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Изменения основных характеристик бюджета Богородского муниципального округа Нижегородской области на 2026 год и на плановый период 2027 и 2028 годов.</w:t>
      </w:r>
    </w:p>
    <w:p w14:paraId="1AD759D3">
      <w:pPr>
        <w:pStyle w:val="190"/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Согласно материалам к проекту решения в основные характеристики местного бюджета на 2026 год и плановый период 2027 и 2028 годов, утвержденные решением Совета депутатов Богородского муниципального округа Нижегородской области от 11.12.2025 № 148 «</w:t>
      </w:r>
      <w:r>
        <w:rPr>
          <w:rFonts w:ascii="Times New Roman" w:hAnsi="Times New Roman"/>
          <w:color w:val="000000"/>
          <w:sz w:val="26"/>
          <w:szCs w:val="26"/>
        </w:rPr>
        <w:t>О бюджете Богородского муниципального округа Нижегородской области на 2026 год и на плановый период 2027 и 2028 годов</w:t>
      </w:r>
      <w:r>
        <w:rPr>
          <w:rFonts w:ascii="Times New Roman" w:hAnsi="Times New Roman"/>
          <w:sz w:val="26"/>
          <w:szCs w:val="26"/>
        </w:rPr>
        <w:t>» (далее – решение от 11.12.2025 № 148), предлагается внести следующие изменения:</w:t>
      </w:r>
    </w:p>
    <w:p w14:paraId="7CC5C7A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тыс. рублей</w:t>
      </w:r>
    </w:p>
    <w:tbl>
      <w:tblPr>
        <w:tblStyle w:val="2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9"/>
        <w:gridCol w:w="2268"/>
        <w:gridCol w:w="1376"/>
        <w:gridCol w:w="1884"/>
        <w:gridCol w:w="1380"/>
      </w:tblGrid>
      <w:tr w14:paraId="1BAC65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4901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835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Решение от 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</w:rPr>
              <w:t>.12.2025 № 1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48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(в редакции решения от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28.05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.202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6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№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43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EDD23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 решения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2971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Изменения к утвержденному решению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A31C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 изменения</w:t>
            </w:r>
          </w:p>
        </w:tc>
      </w:tr>
      <w:tr w14:paraId="4F7DDD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05E7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2026 год</w:t>
            </w:r>
          </w:p>
        </w:tc>
      </w:tr>
      <w:tr w14:paraId="2D4006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09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875415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2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Всего доходов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7A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737 753,82 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89C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742 253,82 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AFC82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4 500,00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01622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0,1 </w:t>
            </w:r>
          </w:p>
        </w:tc>
      </w:tr>
      <w:tr w14:paraId="23DBA0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D1161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2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Всего расходов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F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037 055,88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DA0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053 551,18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AF394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16 495,30 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D1B81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0,4 </w:t>
            </w:r>
          </w:p>
        </w:tc>
      </w:tr>
      <w:tr w14:paraId="1FE399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B1F6FD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2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Дефицит (-), профицит (+)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46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-299 302,06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E99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-311 297,36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36680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-11 995,30 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32371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4,0 </w:t>
            </w:r>
          </w:p>
        </w:tc>
      </w:tr>
      <w:tr w14:paraId="013EC2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1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D5BD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2027 год</w:t>
            </w:r>
          </w:p>
        </w:tc>
      </w:tr>
      <w:tr w14:paraId="25E73C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154537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2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Всего доходов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679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373 706,02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1F55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373 706,02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D4B22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39DAF4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52F741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6A871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2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Всего расходов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256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353 706,02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3352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353 706,02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0FEC37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AE7075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009F78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36F3E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2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Дефицит (+), профицит (-)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2B5D5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20 000,00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49D0A2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20 000,00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F6E22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7A324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15194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1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B80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2028 год</w:t>
            </w:r>
          </w:p>
        </w:tc>
      </w:tr>
      <w:tr w14:paraId="28E7FF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CF1769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2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Всего доходов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5190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517 050,99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9E5F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517 050,99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9089B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7E15FD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708C95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8256D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2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Всего расходов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CA0D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497 050,99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0E3C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497 050,99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07024E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4140D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7097A3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897F97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2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Дефицит (-), профицит (+)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34612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20 000,00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1CEF7B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20 000,00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D38572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C3A08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</w:tbl>
    <w:p w14:paraId="12CF9EE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14:paraId="063695EA">
      <w:pPr>
        <w:pStyle w:val="19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363"/>
        <w:jc w:val="center"/>
        <w:textAlignment w:val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6"/>
          <w:szCs w:val="26"/>
        </w:rPr>
        <w:t>Основные изменения доходов бюджета Богородского муниципального округа Нижегородской области.</w:t>
      </w:r>
    </w:p>
    <w:p w14:paraId="058FA0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тыс. рублей</w:t>
      </w:r>
    </w:p>
    <w:tbl>
      <w:tblPr>
        <w:tblStyle w:val="3"/>
        <w:tblpPr w:leftFromText="180" w:rightFromText="180" w:vertAnchor="text" w:horzAnchor="page" w:tblpX="1692" w:tblpY="24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7"/>
        <w:gridCol w:w="2647"/>
        <w:gridCol w:w="1307"/>
        <w:gridCol w:w="1682"/>
        <w:gridCol w:w="1221"/>
      </w:tblGrid>
      <w:tr w14:paraId="026D30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757" w:type="dxa"/>
            <w:noWrap/>
          </w:tcPr>
          <w:p w14:paraId="3813E1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47" w:type="dxa"/>
            <w:noWrap/>
          </w:tcPr>
          <w:p w14:paraId="45B2A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Решение от 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</w:rPr>
              <w:t>.12.2025 № 1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48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(в редакции решения от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28.05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.202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6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№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43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1307" w:type="dxa"/>
            <w:noWrap/>
          </w:tcPr>
          <w:p w14:paraId="1339E7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 решения</w:t>
            </w:r>
          </w:p>
        </w:tc>
        <w:tc>
          <w:tcPr>
            <w:tcW w:w="1682" w:type="dxa"/>
            <w:noWrap/>
          </w:tcPr>
          <w:p w14:paraId="10B02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Изменения к утверждённому решению</w:t>
            </w:r>
          </w:p>
        </w:tc>
        <w:tc>
          <w:tcPr>
            <w:tcW w:w="1221" w:type="dxa"/>
            <w:noWrap/>
          </w:tcPr>
          <w:p w14:paraId="07DA0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 изменения</w:t>
            </w:r>
          </w:p>
        </w:tc>
      </w:tr>
      <w:tr w14:paraId="3DE076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2757" w:type="dxa"/>
            <w:noWrap/>
          </w:tcPr>
          <w:p w14:paraId="3CB65B02">
            <w:pPr>
              <w:pStyle w:val="190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47" w:type="dxa"/>
            <w:noWrap/>
            <w:vAlign w:val="top"/>
          </w:tcPr>
          <w:p w14:paraId="74A9D3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318 308,28 </w:t>
            </w:r>
          </w:p>
        </w:tc>
        <w:tc>
          <w:tcPr>
            <w:tcW w:w="1307" w:type="dxa"/>
            <w:noWrap/>
            <w:vAlign w:val="top"/>
          </w:tcPr>
          <w:p w14:paraId="4F23E0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318 417,59 </w:t>
            </w:r>
          </w:p>
        </w:tc>
        <w:tc>
          <w:tcPr>
            <w:tcW w:w="1682" w:type="dxa"/>
            <w:noWrap/>
            <w:vAlign w:val="top"/>
          </w:tcPr>
          <w:p w14:paraId="2217B7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109,31 </w:t>
            </w:r>
          </w:p>
        </w:tc>
        <w:tc>
          <w:tcPr>
            <w:tcW w:w="1221" w:type="dxa"/>
            <w:noWrap/>
            <w:vAlign w:val="top"/>
          </w:tcPr>
          <w:p w14:paraId="124BB3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0,01 </w:t>
            </w:r>
          </w:p>
        </w:tc>
      </w:tr>
      <w:tr w14:paraId="5B6E4F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7" w:type="dxa"/>
            <w:noWrap/>
          </w:tcPr>
          <w:p w14:paraId="2EE535C4">
            <w:pPr>
              <w:pStyle w:val="190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647" w:type="dxa"/>
            <w:noWrap/>
            <w:vAlign w:val="top"/>
          </w:tcPr>
          <w:p w14:paraId="239600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419 445,54 </w:t>
            </w:r>
          </w:p>
        </w:tc>
        <w:tc>
          <w:tcPr>
            <w:tcW w:w="1307" w:type="dxa"/>
            <w:noWrap/>
            <w:vAlign w:val="top"/>
          </w:tcPr>
          <w:p w14:paraId="12C2DA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423 836,23 </w:t>
            </w:r>
          </w:p>
        </w:tc>
        <w:tc>
          <w:tcPr>
            <w:tcW w:w="1682" w:type="dxa"/>
            <w:noWrap/>
            <w:vAlign w:val="top"/>
          </w:tcPr>
          <w:p w14:paraId="42FF1F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4 390,69 </w:t>
            </w:r>
          </w:p>
        </w:tc>
        <w:tc>
          <w:tcPr>
            <w:tcW w:w="1221" w:type="dxa"/>
            <w:noWrap/>
            <w:vAlign w:val="top"/>
          </w:tcPr>
          <w:p w14:paraId="0685E7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</w:tr>
      <w:tr w14:paraId="393B1E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7" w:type="dxa"/>
            <w:noWrap/>
          </w:tcPr>
          <w:p w14:paraId="3DC3DF13">
            <w:pPr>
              <w:pStyle w:val="19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2647" w:type="dxa"/>
            <w:noWrap/>
            <w:vAlign w:val="top"/>
          </w:tcPr>
          <w:p w14:paraId="76A96B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737 753,82 </w:t>
            </w:r>
          </w:p>
        </w:tc>
        <w:tc>
          <w:tcPr>
            <w:tcW w:w="1307" w:type="dxa"/>
            <w:noWrap/>
            <w:vAlign w:val="top"/>
          </w:tcPr>
          <w:p w14:paraId="4B72EF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742 253,82 </w:t>
            </w:r>
          </w:p>
        </w:tc>
        <w:tc>
          <w:tcPr>
            <w:tcW w:w="1682" w:type="dxa"/>
            <w:noWrap/>
            <w:vAlign w:val="top"/>
          </w:tcPr>
          <w:p w14:paraId="3DB673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4 500,00 </w:t>
            </w:r>
          </w:p>
        </w:tc>
        <w:tc>
          <w:tcPr>
            <w:tcW w:w="1221" w:type="dxa"/>
            <w:noWrap/>
            <w:vAlign w:val="top"/>
          </w:tcPr>
          <w:p w14:paraId="33041D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2</w:t>
            </w:r>
          </w:p>
        </w:tc>
      </w:tr>
    </w:tbl>
    <w:p w14:paraId="4B43072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Согласно пояснительной записке к проекту решения изменение доходов осуществляется за счет 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неналоговых доходов и </w:t>
      </w:r>
      <w:r>
        <w:rPr>
          <w:rFonts w:ascii="Times New Roman" w:hAnsi="Times New Roman"/>
          <w:sz w:val="26"/>
          <w:szCs w:val="26"/>
        </w:rPr>
        <w:t>безвозмездных поступлений из областного.</w:t>
      </w:r>
      <w:bookmarkStart w:id="0" w:name="_GoBack"/>
      <w:bookmarkEnd w:id="0"/>
    </w:p>
    <w:p w14:paraId="7DAFBE8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В 2026 году доходная часть бюджета увеличивается на 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4 609,31 </w:t>
      </w:r>
      <w:r>
        <w:rPr>
          <w:rFonts w:ascii="Times New Roman" w:hAnsi="Times New Roman"/>
          <w:sz w:val="26"/>
          <w:szCs w:val="26"/>
        </w:rPr>
        <w:t xml:space="preserve">тыс. рублей за счет увеличения следующих доходов: </w:t>
      </w:r>
    </w:p>
    <w:p w14:paraId="47025F4B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57" w:firstLineChars="253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Прочие доходы от компенсации затрат бюджетов муниципальных округов в сумме 109,31 тыс.рублей.</w:t>
      </w:r>
    </w:p>
    <w:p w14:paraId="41EF248C">
      <w:pPr>
        <w:pStyle w:val="190"/>
        <w:numPr>
          <w:ilvl w:val="0"/>
          <w:numId w:val="3"/>
        </w:numPr>
        <w:shd w:val="clear" w:color="auto" w:fill="FFFFFF"/>
        <w:spacing w:after="0" w:line="240" w:lineRule="auto"/>
        <w:ind w:left="0" w:leftChars="0"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>Прочие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субсидии бюджетам муниципальных округов </w:t>
      </w:r>
      <w:r>
        <w:rPr>
          <w:rFonts w:ascii="Times New Roman" w:hAnsi="Times New Roman"/>
          <w:sz w:val="26"/>
          <w:szCs w:val="26"/>
        </w:rPr>
        <w:t xml:space="preserve">в сумме </w:t>
      </w:r>
      <w:r>
        <w:rPr>
          <w:rFonts w:hint="default" w:ascii="Times New Roman" w:hAnsi="Times New Roman"/>
          <w:sz w:val="26"/>
          <w:szCs w:val="26"/>
          <w:lang w:val="ru-RU"/>
        </w:rPr>
        <w:t>4 500,00</w:t>
      </w:r>
      <w:r>
        <w:rPr>
          <w:rFonts w:ascii="Times New Roman" w:hAnsi="Times New Roman"/>
          <w:sz w:val="26"/>
          <w:szCs w:val="26"/>
        </w:rPr>
        <w:t xml:space="preserve"> тыс. рублей.</w:t>
      </w:r>
    </w:p>
    <w:p w14:paraId="078E9DED">
      <w:pPr>
        <w:pStyle w:val="190"/>
        <w:shd w:val="clear" w:color="auto" w:fill="FFFFFF"/>
        <w:spacing w:after="0" w:line="240" w:lineRule="auto"/>
        <w:ind w:left="660"/>
        <w:jc w:val="both"/>
        <w:rPr>
          <w:rFonts w:ascii="Times New Roman" w:hAnsi="Times New Roman"/>
          <w:sz w:val="26"/>
          <w:szCs w:val="26"/>
        </w:rPr>
      </w:pPr>
    </w:p>
    <w:p w14:paraId="4BAE6183">
      <w:pPr>
        <w:pStyle w:val="190"/>
        <w:numPr>
          <w:ilvl w:val="0"/>
          <w:numId w:val="0"/>
        </w:numPr>
        <w:shd w:val="clear" w:color="auto" w:fill="FFFFFF"/>
        <w:spacing w:after="0" w:line="240" w:lineRule="auto"/>
        <w:ind w:left="0" w:leftChars="0"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Уменьшение доходной части осуществляется в сумме </w:t>
      </w:r>
      <w:r>
        <w:rPr>
          <w:rFonts w:hint="default" w:ascii="Times New Roman" w:hAnsi="Times New Roman"/>
          <w:sz w:val="26"/>
          <w:szCs w:val="26"/>
          <w:lang w:val="ru-RU"/>
        </w:rPr>
        <w:t>109,31</w:t>
      </w:r>
      <w:r>
        <w:rPr>
          <w:rFonts w:ascii="Times New Roman" w:hAnsi="Times New Roman"/>
          <w:sz w:val="26"/>
          <w:szCs w:val="26"/>
        </w:rPr>
        <w:t xml:space="preserve"> тыс. рублей за счет сокращения доходов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по в</w:t>
      </w:r>
      <w:r>
        <w:rPr>
          <w:rFonts w:ascii="Times New Roman" w:hAnsi="Times New Roman"/>
          <w:sz w:val="26"/>
          <w:szCs w:val="26"/>
          <w:lang w:val="ru-RU"/>
        </w:rPr>
        <w:t>озврату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п</w:t>
      </w:r>
      <w:r>
        <w:rPr>
          <w:rFonts w:ascii="Times New Roman" w:hAnsi="Times New Roman"/>
          <w:sz w:val="26"/>
          <w:szCs w:val="26"/>
        </w:rPr>
        <w:t xml:space="preserve">рочих </w:t>
      </w:r>
      <w:r>
        <w:rPr>
          <w:rFonts w:ascii="Times New Roman" w:hAnsi="Times New Roman"/>
          <w:sz w:val="26"/>
          <w:szCs w:val="26"/>
          <w:lang w:val="ru-RU"/>
        </w:rPr>
        <w:t>остатков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субсидий</w:t>
      </w:r>
      <w:r>
        <w:rPr>
          <w:rFonts w:hint="default" w:ascii="Times New Roman" w:hAnsi="Times New Roman"/>
          <w:sz w:val="26"/>
          <w:szCs w:val="26"/>
          <w:lang w:val="ru-RU"/>
        </w:rPr>
        <w:t>, субвенций и иных межбюджетных трансфертов, имеющих целевое назначение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прошлых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лет из </w:t>
      </w:r>
      <w:r>
        <w:rPr>
          <w:rFonts w:ascii="Times New Roman" w:hAnsi="Times New Roman"/>
          <w:sz w:val="26"/>
          <w:szCs w:val="26"/>
        </w:rPr>
        <w:t>бюджет</w:t>
      </w:r>
      <w:r>
        <w:rPr>
          <w:rFonts w:ascii="Times New Roman" w:hAnsi="Times New Roman"/>
          <w:sz w:val="26"/>
          <w:szCs w:val="26"/>
          <w:lang w:val="ru-RU"/>
        </w:rPr>
        <w:t>ов</w:t>
      </w:r>
      <w:r>
        <w:rPr>
          <w:rFonts w:ascii="Times New Roman" w:hAnsi="Times New Roman"/>
          <w:sz w:val="26"/>
          <w:szCs w:val="26"/>
        </w:rPr>
        <w:t xml:space="preserve"> муниципальных округов в сумме </w:t>
      </w:r>
      <w:r>
        <w:rPr>
          <w:rFonts w:hint="default" w:ascii="Times New Roman" w:hAnsi="Times New Roman"/>
          <w:sz w:val="26"/>
          <w:szCs w:val="26"/>
          <w:lang w:val="ru-RU"/>
        </w:rPr>
        <w:t>109,31</w:t>
      </w:r>
      <w:r>
        <w:rPr>
          <w:rFonts w:ascii="Times New Roman" w:hAnsi="Times New Roman"/>
          <w:sz w:val="26"/>
          <w:szCs w:val="26"/>
        </w:rPr>
        <w:t xml:space="preserve"> тыс. рублей.</w:t>
      </w:r>
    </w:p>
    <w:p w14:paraId="0DDD4772">
      <w:pPr>
        <w:pStyle w:val="190"/>
        <w:numPr>
          <w:ilvl w:val="0"/>
          <w:numId w:val="0"/>
        </w:numPr>
        <w:shd w:val="clear" w:color="auto" w:fill="FFFFFF"/>
        <w:spacing w:after="0" w:line="240" w:lineRule="auto"/>
        <w:ind w:left="658" w:leftChars="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</w:p>
    <w:p w14:paraId="2B0644E1">
      <w:pPr>
        <w:pStyle w:val="190"/>
        <w:numPr>
          <w:ilvl w:val="0"/>
          <w:numId w:val="2"/>
        </w:numPr>
        <w:shd w:val="clear" w:color="auto" w:fill="FFFFFF"/>
        <w:spacing w:before="240" w:after="0" w:line="240" w:lineRule="auto"/>
        <w:ind w:left="0" w:firstLine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Основные изменения бюджетных ассигнований на осуществление расходов бюджета Богородского муниципального округа </w:t>
      </w:r>
    </w:p>
    <w:p w14:paraId="4036F3AD">
      <w:pPr>
        <w:pStyle w:val="190"/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Нижегородской области</w:t>
      </w:r>
    </w:p>
    <w:p w14:paraId="67AD18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Информация об изменениях бюджетных ассигнований по разделам классификации расходов местного бюджета на 2026 год представлена в таблице.</w:t>
      </w:r>
    </w:p>
    <w:p w14:paraId="7C8832BF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тыс. рублей</w:t>
      </w:r>
    </w:p>
    <w:tbl>
      <w:tblPr>
        <w:tblStyle w:val="3"/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3"/>
        <w:gridCol w:w="2408"/>
        <w:gridCol w:w="1372"/>
        <w:gridCol w:w="1864"/>
        <w:gridCol w:w="1147"/>
      </w:tblGrid>
      <w:tr w14:paraId="48C628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3" w:type="dxa"/>
            <w:noWrap/>
            <w:vAlign w:val="center"/>
          </w:tcPr>
          <w:p w14:paraId="207FC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Наименование раздела классификации расходов бюджета</w:t>
            </w:r>
          </w:p>
        </w:tc>
        <w:tc>
          <w:tcPr>
            <w:tcW w:w="2408" w:type="dxa"/>
            <w:noWrap/>
            <w:vAlign w:val="center"/>
          </w:tcPr>
          <w:p w14:paraId="11258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Решение от 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</w:rPr>
              <w:t>.12.2025 № 1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48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(в редакции решения от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28.05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.202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6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№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43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1372" w:type="dxa"/>
            <w:noWrap/>
            <w:vAlign w:val="center"/>
          </w:tcPr>
          <w:p w14:paraId="4481F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 xml:space="preserve">Проект решения </w:t>
            </w:r>
          </w:p>
        </w:tc>
        <w:tc>
          <w:tcPr>
            <w:tcW w:w="1864" w:type="dxa"/>
            <w:noWrap/>
            <w:vAlign w:val="center"/>
          </w:tcPr>
          <w:p w14:paraId="6A1EC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 xml:space="preserve">Изменения к утвержденному решению </w:t>
            </w:r>
          </w:p>
        </w:tc>
        <w:tc>
          <w:tcPr>
            <w:tcW w:w="1147" w:type="dxa"/>
            <w:noWrap/>
            <w:vAlign w:val="center"/>
          </w:tcPr>
          <w:p w14:paraId="7AC6B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% изменения</w:t>
            </w:r>
          </w:p>
        </w:tc>
      </w:tr>
      <w:tr w14:paraId="625F36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3" w:type="dxa"/>
            <w:noWrap/>
          </w:tcPr>
          <w:p w14:paraId="20EF07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Общегосударственные вопросы</w:t>
            </w:r>
          </w:p>
        </w:tc>
        <w:tc>
          <w:tcPr>
            <w:tcW w:w="2408" w:type="dxa"/>
            <w:noWrap/>
            <w:vAlign w:val="bottom"/>
          </w:tcPr>
          <w:p w14:paraId="0020CC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331 286,99 </w:t>
            </w:r>
          </w:p>
        </w:tc>
        <w:tc>
          <w:tcPr>
            <w:tcW w:w="1372" w:type="dxa"/>
            <w:noWrap/>
            <w:vAlign w:val="bottom"/>
          </w:tcPr>
          <w:p w14:paraId="7155B4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330 986,99 </w:t>
            </w:r>
          </w:p>
        </w:tc>
        <w:tc>
          <w:tcPr>
            <w:tcW w:w="1864" w:type="dxa"/>
            <w:noWrap/>
            <w:vAlign w:val="bottom"/>
          </w:tcPr>
          <w:p w14:paraId="7D8C6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- 300,00 </w:t>
            </w:r>
          </w:p>
        </w:tc>
        <w:tc>
          <w:tcPr>
            <w:tcW w:w="1147" w:type="dxa"/>
            <w:noWrap/>
            <w:vAlign w:val="bottom"/>
          </w:tcPr>
          <w:p w14:paraId="1B2CF9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- 0,1 </w:t>
            </w:r>
          </w:p>
        </w:tc>
      </w:tr>
      <w:tr w14:paraId="29B485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3" w:type="dxa"/>
            <w:noWrap/>
          </w:tcPr>
          <w:p w14:paraId="05F22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Национальная оборона</w:t>
            </w:r>
          </w:p>
        </w:tc>
        <w:tc>
          <w:tcPr>
            <w:tcW w:w="2408" w:type="dxa"/>
            <w:noWrap/>
            <w:vAlign w:val="bottom"/>
          </w:tcPr>
          <w:p w14:paraId="4FACFE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2 907,80 </w:t>
            </w:r>
          </w:p>
        </w:tc>
        <w:tc>
          <w:tcPr>
            <w:tcW w:w="1372" w:type="dxa"/>
            <w:noWrap/>
            <w:vAlign w:val="bottom"/>
          </w:tcPr>
          <w:p w14:paraId="2F97BF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2 907,80 </w:t>
            </w:r>
          </w:p>
        </w:tc>
        <w:tc>
          <w:tcPr>
            <w:tcW w:w="1864" w:type="dxa"/>
            <w:noWrap/>
            <w:vAlign w:val="bottom"/>
          </w:tcPr>
          <w:p w14:paraId="4BDB7F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147" w:type="dxa"/>
            <w:noWrap/>
            <w:vAlign w:val="bottom"/>
          </w:tcPr>
          <w:p w14:paraId="4A4E80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3EA297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3" w:type="dxa"/>
            <w:noWrap/>
          </w:tcPr>
          <w:p w14:paraId="787684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  <w:t>Национальная безопасность и правоохранительная деятельность</w:t>
            </w:r>
          </w:p>
        </w:tc>
        <w:tc>
          <w:tcPr>
            <w:tcW w:w="2408" w:type="dxa"/>
            <w:noWrap/>
            <w:vAlign w:val="bottom"/>
          </w:tcPr>
          <w:p w14:paraId="771609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74 643,02 </w:t>
            </w:r>
          </w:p>
        </w:tc>
        <w:tc>
          <w:tcPr>
            <w:tcW w:w="1372" w:type="dxa"/>
            <w:noWrap/>
            <w:vAlign w:val="bottom"/>
          </w:tcPr>
          <w:p w14:paraId="17D081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75 053,02 </w:t>
            </w:r>
          </w:p>
        </w:tc>
        <w:tc>
          <w:tcPr>
            <w:tcW w:w="1864" w:type="dxa"/>
            <w:noWrap/>
            <w:vAlign w:val="bottom"/>
          </w:tcPr>
          <w:p w14:paraId="751EC8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410,00 </w:t>
            </w:r>
          </w:p>
        </w:tc>
        <w:tc>
          <w:tcPr>
            <w:tcW w:w="1147" w:type="dxa"/>
            <w:noWrap/>
            <w:vAlign w:val="bottom"/>
          </w:tcPr>
          <w:p w14:paraId="363616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0,5 </w:t>
            </w:r>
          </w:p>
        </w:tc>
      </w:tr>
      <w:tr w14:paraId="7DD365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3" w:type="dxa"/>
            <w:noWrap/>
          </w:tcPr>
          <w:p w14:paraId="067AA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Национальная экономика</w:t>
            </w:r>
          </w:p>
        </w:tc>
        <w:tc>
          <w:tcPr>
            <w:tcW w:w="2408" w:type="dxa"/>
            <w:noWrap/>
            <w:vAlign w:val="bottom"/>
          </w:tcPr>
          <w:p w14:paraId="42D951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276 458,22 </w:t>
            </w:r>
          </w:p>
        </w:tc>
        <w:tc>
          <w:tcPr>
            <w:tcW w:w="1372" w:type="dxa"/>
            <w:noWrap/>
            <w:vAlign w:val="bottom"/>
          </w:tcPr>
          <w:p w14:paraId="476F2A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282 218,55 </w:t>
            </w:r>
          </w:p>
        </w:tc>
        <w:tc>
          <w:tcPr>
            <w:tcW w:w="1864" w:type="dxa"/>
            <w:noWrap/>
            <w:vAlign w:val="bottom"/>
          </w:tcPr>
          <w:p w14:paraId="7FA7F9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5 760,33 </w:t>
            </w:r>
          </w:p>
        </w:tc>
        <w:tc>
          <w:tcPr>
            <w:tcW w:w="1147" w:type="dxa"/>
            <w:noWrap/>
            <w:vAlign w:val="bottom"/>
          </w:tcPr>
          <w:p w14:paraId="32241C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2,1 </w:t>
            </w:r>
          </w:p>
        </w:tc>
      </w:tr>
      <w:tr w14:paraId="0510B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3" w:type="dxa"/>
            <w:noWrap/>
          </w:tcPr>
          <w:p w14:paraId="30F9F1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Жилищно-коммунальное хозяйство</w:t>
            </w:r>
          </w:p>
        </w:tc>
        <w:tc>
          <w:tcPr>
            <w:tcW w:w="2408" w:type="dxa"/>
            <w:noWrap/>
            <w:vAlign w:val="bottom"/>
          </w:tcPr>
          <w:p w14:paraId="416906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845 332,64 </w:t>
            </w:r>
          </w:p>
        </w:tc>
        <w:tc>
          <w:tcPr>
            <w:tcW w:w="1372" w:type="dxa"/>
            <w:noWrap/>
            <w:vAlign w:val="bottom"/>
          </w:tcPr>
          <w:p w14:paraId="2C833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855 940,39 </w:t>
            </w:r>
          </w:p>
        </w:tc>
        <w:tc>
          <w:tcPr>
            <w:tcW w:w="1864" w:type="dxa"/>
            <w:noWrap/>
            <w:vAlign w:val="bottom"/>
          </w:tcPr>
          <w:p w14:paraId="6F29B8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10 607,75 </w:t>
            </w:r>
          </w:p>
        </w:tc>
        <w:tc>
          <w:tcPr>
            <w:tcW w:w="1147" w:type="dxa"/>
            <w:noWrap/>
            <w:vAlign w:val="bottom"/>
          </w:tcPr>
          <w:p w14:paraId="122459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1,3 </w:t>
            </w:r>
          </w:p>
        </w:tc>
      </w:tr>
      <w:tr w14:paraId="3D6A8B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3" w:type="dxa"/>
            <w:noWrap/>
          </w:tcPr>
          <w:p w14:paraId="29FD6D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 xml:space="preserve">Образование </w:t>
            </w:r>
          </w:p>
        </w:tc>
        <w:tc>
          <w:tcPr>
            <w:tcW w:w="2408" w:type="dxa"/>
            <w:noWrap/>
            <w:vAlign w:val="bottom"/>
          </w:tcPr>
          <w:p w14:paraId="7CA2AB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992 748,57 </w:t>
            </w:r>
          </w:p>
        </w:tc>
        <w:tc>
          <w:tcPr>
            <w:tcW w:w="1372" w:type="dxa"/>
            <w:noWrap/>
            <w:vAlign w:val="bottom"/>
          </w:tcPr>
          <w:p w14:paraId="64CCE8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993 282,27 </w:t>
            </w:r>
          </w:p>
        </w:tc>
        <w:tc>
          <w:tcPr>
            <w:tcW w:w="1864" w:type="dxa"/>
            <w:noWrap/>
            <w:vAlign w:val="bottom"/>
          </w:tcPr>
          <w:p w14:paraId="0C6090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533,70 </w:t>
            </w:r>
          </w:p>
        </w:tc>
        <w:tc>
          <w:tcPr>
            <w:tcW w:w="1147" w:type="dxa"/>
            <w:noWrap/>
            <w:vAlign w:val="bottom"/>
          </w:tcPr>
          <w:p w14:paraId="73916A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7932E5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3" w:type="dxa"/>
            <w:noWrap/>
          </w:tcPr>
          <w:p w14:paraId="33DCE4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Культура, кинематография</w:t>
            </w:r>
          </w:p>
        </w:tc>
        <w:tc>
          <w:tcPr>
            <w:tcW w:w="2408" w:type="dxa"/>
            <w:noWrap/>
            <w:vAlign w:val="bottom"/>
          </w:tcPr>
          <w:p w14:paraId="6CBE19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237 773,93 </w:t>
            </w:r>
          </w:p>
        </w:tc>
        <w:tc>
          <w:tcPr>
            <w:tcW w:w="1372" w:type="dxa"/>
            <w:noWrap/>
            <w:vAlign w:val="bottom"/>
          </w:tcPr>
          <w:p w14:paraId="7A4503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231 487,45 </w:t>
            </w:r>
          </w:p>
        </w:tc>
        <w:tc>
          <w:tcPr>
            <w:tcW w:w="1864" w:type="dxa"/>
            <w:noWrap/>
            <w:vAlign w:val="bottom"/>
          </w:tcPr>
          <w:p w14:paraId="73FA98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-6 286,48 </w:t>
            </w:r>
          </w:p>
        </w:tc>
        <w:tc>
          <w:tcPr>
            <w:tcW w:w="1147" w:type="dxa"/>
            <w:noWrap/>
            <w:vAlign w:val="bottom"/>
          </w:tcPr>
          <w:p w14:paraId="0119A3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- 2,6 </w:t>
            </w:r>
          </w:p>
        </w:tc>
      </w:tr>
      <w:tr w14:paraId="29B6D8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3" w:type="dxa"/>
            <w:noWrap/>
          </w:tcPr>
          <w:p w14:paraId="4BBEF6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top"/>
              <w:rPr>
                <w:rFonts w:hint="default" w:ascii="Times New Roman" w:hAnsi="Times New Roman" w:eastAsia="SimSun"/>
                <w:color w:val="000000"/>
                <w:sz w:val="20"/>
                <w:szCs w:val="20"/>
                <w:lang w:val="ru-RU" w:eastAsia="zh-CN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ru-RU" w:eastAsia="zh-CN"/>
              </w:rPr>
              <w:t>Здравохранение</w:t>
            </w:r>
            <w:r>
              <w:rPr>
                <w:rFonts w:hint="default" w:ascii="Times New Roman" w:hAnsi="Times New Roman" w:eastAsia="SimSun"/>
                <w:color w:val="000000"/>
                <w:sz w:val="20"/>
                <w:szCs w:val="20"/>
                <w:lang w:val="ru-RU" w:eastAsia="zh-CN"/>
              </w:rPr>
              <w:t xml:space="preserve"> </w:t>
            </w:r>
          </w:p>
        </w:tc>
        <w:tc>
          <w:tcPr>
            <w:tcW w:w="2408" w:type="dxa"/>
            <w:noWrap/>
            <w:vAlign w:val="bottom"/>
          </w:tcPr>
          <w:p w14:paraId="34D915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500,00 </w:t>
            </w:r>
          </w:p>
        </w:tc>
        <w:tc>
          <w:tcPr>
            <w:tcW w:w="1372" w:type="dxa"/>
            <w:noWrap/>
            <w:vAlign w:val="bottom"/>
          </w:tcPr>
          <w:p w14:paraId="5FDFF5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5 000,00 </w:t>
            </w:r>
          </w:p>
        </w:tc>
        <w:tc>
          <w:tcPr>
            <w:tcW w:w="1864" w:type="dxa"/>
            <w:noWrap/>
            <w:vAlign w:val="bottom"/>
          </w:tcPr>
          <w:p w14:paraId="769457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4 500,00 </w:t>
            </w:r>
          </w:p>
        </w:tc>
        <w:tc>
          <w:tcPr>
            <w:tcW w:w="1147" w:type="dxa"/>
            <w:noWrap/>
            <w:vAlign w:val="bottom"/>
          </w:tcPr>
          <w:p w14:paraId="496B5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в 9 раз</w:t>
            </w:r>
          </w:p>
        </w:tc>
      </w:tr>
      <w:tr w14:paraId="6542A2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2803" w:type="dxa"/>
            <w:noWrap/>
          </w:tcPr>
          <w:p w14:paraId="3B9F7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Социальная политика</w:t>
            </w:r>
          </w:p>
        </w:tc>
        <w:tc>
          <w:tcPr>
            <w:tcW w:w="2408" w:type="dxa"/>
            <w:noWrap/>
            <w:vAlign w:val="bottom"/>
          </w:tcPr>
          <w:p w14:paraId="14C297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116 693,21 </w:t>
            </w:r>
          </w:p>
        </w:tc>
        <w:tc>
          <w:tcPr>
            <w:tcW w:w="1372" w:type="dxa"/>
            <w:noWrap/>
            <w:vAlign w:val="bottom"/>
          </w:tcPr>
          <w:p w14:paraId="44DF13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116 993,21 </w:t>
            </w:r>
          </w:p>
        </w:tc>
        <w:tc>
          <w:tcPr>
            <w:tcW w:w="1864" w:type="dxa"/>
            <w:noWrap/>
            <w:vAlign w:val="bottom"/>
          </w:tcPr>
          <w:p w14:paraId="12B913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300,00 </w:t>
            </w:r>
          </w:p>
        </w:tc>
        <w:tc>
          <w:tcPr>
            <w:tcW w:w="1147" w:type="dxa"/>
            <w:noWrap/>
            <w:vAlign w:val="bottom"/>
          </w:tcPr>
          <w:p w14:paraId="2DA917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0,3 </w:t>
            </w:r>
          </w:p>
        </w:tc>
      </w:tr>
      <w:tr w14:paraId="158A5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3" w:type="dxa"/>
            <w:noWrap/>
          </w:tcPr>
          <w:p w14:paraId="5A242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top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Физическая культура и спорт</w:t>
            </w:r>
          </w:p>
        </w:tc>
        <w:tc>
          <w:tcPr>
            <w:tcW w:w="2408" w:type="dxa"/>
            <w:noWrap/>
            <w:vAlign w:val="bottom"/>
          </w:tcPr>
          <w:p w14:paraId="39167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150 682,22 </w:t>
            </w:r>
          </w:p>
        </w:tc>
        <w:tc>
          <w:tcPr>
            <w:tcW w:w="1372" w:type="dxa"/>
            <w:noWrap/>
            <w:vAlign w:val="bottom"/>
          </w:tcPr>
          <w:p w14:paraId="3A4C62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150 682,22 </w:t>
            </w:r>
          </w:p>
        </w:tc>
        <w:tc>
          <w:tcPr>
            <w:tcW w:w="1864" w:type="dxa"/>
            <w:noWrap/>
            <w:vAlign w:val="bottom"/>
          </w:tcPr>
          <w:p w14:paraId="6B6EBD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147" w:type="dxa"/>
            <w:noWrap/>
            <w:vAlign w:val="bottom"/>
          </w:tcPr>
          <w:p w14:paraId="1DA0A6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1600F9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3" w:type="dxa"/>
            <w:noWrap/>
          </w:tcPr>
          <w:p w14:paraId="77C5CB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Средства массовой информации</w:t>
            </w:r>
          </w:p>
        </w:tc>
        <w:tc>
          <w:tcPr>
            <w:tcW w:w="2408" w:type="dxa"/>
            <w:noWrap/>
            <w:vAlign w:val="bottom"/>
          </w:tcPr>
          <w:p w14:paraId="0DB8FE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8 029,28 </w:t>
            </w:r>
          </w:p>
        </w:tc>
        <w:tc>
          <w:tcPr>
            <w:tcW w:w="1372" w:type="dxa"/>
            <w:noWrap/>
            <w:vAlign w:val="bottom"/>
          </w:tcPr>
          <w:p w14:paraId="69848F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8 999,28 </w:t>
            </w:r>
          </w:p>
        </w:tc>
        <w:tc>
          <w:tcPr>
            <w:tcW w:w="1864" w:type="dxa"/>
            <w:noWrap/>
            <w:vAlign w:val="bottom"/>
          </w:tcPr>
          <w:p w14:paraId="564D50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970,00 </w:t>
            </w:r>
          </w:p>
        </w:tc>
        <w:tc>
          <w:tcPr>
            <w:tcW w:w="1147" w:type="dxa"/>
            <w:noWrap/>
            <w:vAlign w:val="bottom"/>
          </w:tcPr>
          <w:p w14:paraId="77F9D2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12,1 </w:t>
            </w:r>
          </w:p>
        </w:tc>
      </w:tr>
      <w:tr w14:paraId="370010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  <w:jc w:val="center"/>
        </w:trPr>
        <w:tc>
          <w:tcPr>
            <w:tcW w:w="2803" w:type="dxa"/>
            <w:noWrap/>
          </w:tcPr>
          <w:p w14:paraId="288A07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top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/>
                <w:b/>
                <w:bCs/>
                <w:color w:val="000000"/>
                <w:sz w:val="20"/>
                <w:szCs w:val="20"/>
                <w:lang w:val="en-US" w:eastAsia="zh-CN"/>
              </w:rPr>
              <w:t>Всего расходов</w:t>
            </w:r>
          </w:p>
        </w:tc>
        <w:tc>
          <w:tcPr>
            <w:tcW w:w="2408" w:type="dxa"/>
            <w:noWrap/>
            <w:vAlign w:val="bottom"/>
          </w:tcPr>
          <w:p w14:paraId="62CAEE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037 055,88 </w:t>
            </w:r>
          </w:p>
        </w:tc>
        <w:tc>
          <w:tcPr>
            <w:tcW w:w="1372" w:type="dxa"/>
            <w:noWrap/>
            <w:vAlign w:val="bottom"/>
          </w:tcPr>
          <w:p w14:paraId="426852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053 551,18 </w:t>
            </w:r>
          </w:p>
        </w:tc>
        <w:tc>
          <w:tcPr>
            <w:tcW w:w="1864" w:type="dxa"/>
            <w:noWrap/>
            <w:vAlign w:val="bottom"/>
          </w:tcPr>
          <w:p w14:paraId="0EDE09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16 495,30 </w:t>
            </w:r>
          </w:p>
        </w:tc>
        <w:tc>
          <w:tcPr>
            <w:tcW w:w="1147" w:type="dxa"/>
            <w:noWrap/>
            <w:vAlign w:val="bottom"/>
          </w:tcPr>
          <w:p w14:paraId="34249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0,4 </w:t>
            </w:r>
          </w:p>
        </w:tc>
      </w:tr>
    </w:tbl>
    <w:p w14:paraId="10E9831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В соответствии с рассматриваемым проектом решения предлагается изменить расходную часть бюджета на </w:t>
      </w:r>
      <w:r>
        <w:rPr>
          <w:rFonts w:hint="default" w:ascii="Times New Roman" w:hAnsi="Times New Roman"/>
          <w:sz w:val="26"/>
          <w:szCs w:val="26"/>
          <w:lang w:val="ru-RU"/>
        </w:rPr>
        <w:t>16 495,30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kern w:val="0"/>
          <w:sz w:val="26"/>
          <w:szCs w:val="26"/>
          <w:u w:val="none"/>
          <w:lang w:val="en-US" w:eastAsia="zh-CN" w:bidi="ar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тыс. рублей, увеличив на сумму 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kern w:val="0"/>
          <w:sz w:val="26"/>
          <w:szCs w:val="26"/>
          <w:u w:val="none"/>
          <w:lang w:val="ru-RU" w:eastAsia="zh-CN" w:bidi="ar"/>
        </w:rPr>
        <w:t>27 133,48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тыс. рублей, сократив на сумму </w:t>
      </w:r>
      <w:r>
        <w:rPr>
          <w:rFonts w:hint="default" w:ascii="Times New Roman" w:hAnsi="Times New Roman"/>
          <w:sz w:val="26"/>
          <w:szCs w:val="26"/>
          <w:lang w:val="ru-RU"/>
        </w:rPr>
        <w:t>10 638,18</w:t>
      </w:r>
      <w:r>
        <w:rPr>
          <w:rFonts w:ascii="Times New Roman" w:hAnsi="Times New Roman"/>
          <w:sz w:val="26"/>
          <w:szCs w:val="26"/>
        </w:rPr>
        <w:t xml:space="preserve"> тыс. рублей.</w:t>
      </w:r>
    </w:p>
    <w:p w14:paraId="6E8F9A3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Информация об изменениях финансового обеспечения муниципальных программ Богородского муниципального округа Нижегородской области на 2026 год представлена в таблице.</w:t>
      </w:r>
    </w:p>
    <w:p w14:paraId="51004D5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тыс. рублей</w:t>
      </w:r>
    </w:p>
    <w:tbl>
      <w:tblPr>
        <w:tblStyle w:val="3"/>
        <w:tblW w:w="972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5"/>
        <w:gridCol w:w="4361"/>
        <w:gridCol w:w="1547"/>
        <w:gridCol w:w="1288"/>
        <w:gridCol w:w="1368"/>
        <w:gridCol w:w="716"/>
      </w:tblGrid>
      <w:tr w14:paraId="3EDE1C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3" w:hRule="atLeast"/>
        </w:trPr>
        <w:tc>
          <w:tcPr>
            <w:tcW w:w="445" w:type="dxa"/>
            <w:noWrap/>
            <w:vAlign w:val="center"/>
          </w:tcPr>
          <w:p w14:paraId="7051320F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color w:val="auto"/>
                <w:sz w:val="20"/>
                <w:szCs w:val="20"/>
              </w:rPr>
            </w:pPr>
          </w:p>
        </w:tc>
        <w:tc>
          <w:tcPr>
            <w:tcW w:w="4361" w:type="dxa"/>
            <w:noWrap/>
            <w:vAlign w:val="center"/>
          </w:tcPr>
          <w:p w14:paraId="6FBCD89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auto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547" w:type="dxa"/>
            <w:noWrap/>
            <w:vAlign w:val="center"/>
          </w:tcPr>
          <w:p w14:paraId="693DD1D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Решение от </w:t>
            </w: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>11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.12.2025 № 1</w:t>
            </w: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>48</w:t>
            </w: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 xml:space="preserve"> (в редакции решения от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28.05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.202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6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№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43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1288" w:type="dxa"/>
            <w:noWrap/>
            <w:vAlign w:val="center"/>
          </w:tcPr>
          <w:p w14:paraId="006B0B1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auto"/>
                <w:sz w:val="20"/>
                <w:szCs w:val="20"/>
              </w:rPr>
              <w:t>Проект решения</w:t>
            </w:r>
          </w:p>
        </w:tc>
        <w:tc>
          <w:tcPr>
            <w:tcW w:w="1368" w:type="dxa"/>
            <w:noWrap/>
            <w:vAlign w:val="center"/>
          </w:tcPr>
          <w:p w14:paraId="0238120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auto"/>
                <w:sz w:val="20"/>
                <w:szCs w:val="20"/>
              </w:rPr>
              <w:t>Изменения к утвержденному решению</w:t>
            </w:r>
          </w:p>
        </w:tc>
        <w:tc>
          <w:tcPr>
            <w:tcW w:w="716" w:type="dxa"/>
            <w:noWrap/>
            <w:vAlign w:val="center"/>
          </w:tcPr>
          <w:p w14:paraId="59AA3BF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auto"/>
                <w:sz w:val="20"/>
                <w:szCs w:val="20"/>
              </w:rPr>
              <w:t>% изменения</w:t>
            </w:r>
          </w:p>
        </w:tc>
      </w:tr>
      <w:tr w14:paraId="31C493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445" w:type="dxa"/>
            <w:noWrap/>
            <w:vAlign w:val="center"/>
          </w:tcPr>
          <w:p w14:paraId="113791B4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</w:t>
            </w:r>
          </w:p>
        </w:tc>
        <w:tc>
          <w:tcPr>
            <w:tcW w:w="4361" w:type="dxa"/>
            <w:noWrap/>
            <w:vAlign w:val="center"/>
          </w:tcPr>
          <w:p w14:paraId="3DD7AC98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«Развитие образования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2FCD3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929 367,11</w:t>
            </w:r>
          </w:p>
        </w:tc>
        <w:tc>
          <w:tcPr>
            <w:tcW w:w="1288" w:type="dxa"/>
            <w:noWrap/>
            <w:vAlign w:val="center"/>
          </w:tcPr>
          <w:p w14:paraId="6C0D9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929 900,81</w:t>
            </w:r>
          </w:p>
        </w:tc>
        <w:tc>
          <w:tcPr>
            <w:tcW w:w="1368" w:type="dxa"/>
            <w:noWrap/>
            <w:vAlign w:val="center"/>
          </w:tcPr>
          <w:p w14:paraId="564F0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533,70</w:t>
            </w:r>
          </w:p>
        </w:tc>
        <w:tc>
          <w:tcPr>
            <w:tcW w:w="716" w:type="dxa"/>
            <w:noWrap/>
            <w:vAlign w:val="center"/>
          </w:tcPr>
          <w:p w14:paraId="296BB8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3FC513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45" w:type="dxa"/>
            <w:noWrap/>
            <w:vAlign w:val="center"/>
          </w:tcPr>
          <w:p w14:paraId="6B8A2ABF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2</w:t>
            </w:r>
          </w:p>
        </w:tc>
        <w:tc>
          <w:tcPr>
            <w:tcW w:w="4361" w:type="dxa"/>
            <w:noWrap/>
            <w:vAlign w:val="center"/>
          </w:tcPr>
          <w:p w14:paraId="46954BCF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«Социальная поддержка граждан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1F873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30 003,02</w:t>
            </w:r>
          </w:p>
        </w:tc>
        <w:tc>
          <w:tcPr>
            <w:tcW w:w="1288" w:type="dxa"/>
            <w:noWrap/>
            <w:vAlign w:val="center"/>
          </w:tcPr>
          <w:p w14:paraId="65378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30 303,02</w:t>
            </w:r>
          </w:p>
        </w:tc>
        <w:tc>
          <w:tcPr>
            <w:tcW w:w="1368" w:type="dxa"/>
            <w:noWrap/>
            <w:vAlign w:val="center"/>
          </w:tcPr>
          <w:p w14:paraId="7A383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300,00</w:t>
            </w:r>
          </w:p>
        </w:tc>
        <w:tc>
          <w:tcPr>
            <w:tcW w:w="716" w:type="dxa"/>
            <w:noWrap/>
            <w:vAlign w:val="center"/>
          </w:tcPr>
          <w:p w14:paraId="675766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1,0 </w:t>
            </w:r>
          </w:p>
        </w:tc>
      </w:tr>
      <w:tr w14:paraId="7F9D80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dxa"/>
            <w:noWrap/>
            <w:vAlign w:val="center"/>
          </w:tcPr>
          <w:p w14:paraId="313F1E82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3</w:t>
            </w:r>
          </w:p>
        </w:tc>
        <w:tc>
          <w:tcPr>
            <w:tcW w:w="4361" w:type="dxa"/>
            <w:noWrap/>
            <w:vAlign w:val="center"/>
          </w:tcPr>
          <w:p w14:paraId="1D229E0F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«Обеспечение населения Богородского муниципального округа Нижегородской области доступным и комфортным жильем»</w:t>
            </w:r>
          </w:p>
        </w:tc>
        <w:tc>
          <w:tcPr>
            <w:tcW w:w="1547" w:type="dxa"/>
            <w:noWrap/>
            <w:vAlign w:val="center"/>
          </w:tcPr>
          <w:p w14:paraId="6F6DF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69 731,58</w:t>
            </w:r>
          </w:p>
        </w:tc>
        <w:tc>
          <w:tcPr>
            <w:tcW w:w="1288" w:type="dxa"/>
            <w:noWrap/>
            <w:vAlign w:val="center"/>
          </w:tcPr>
          <w:p w14:paraId="5D713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69 731,58</w:t>
            </w:r>
          </w:p>
        </w:tc>
        <w:tc>
          <w:tcPr>
            <w:tcW w:w="1368" w:type="dxa"/>
            <w:noWrap/>
            <w:vAlign w:val="center"/>
          </w:tcPr>
          <w:p w14:paraId="4D2EB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16" w:type="dxa"/>
            <w:noWrap/>
            <w:vAlign w:val="center"/>
          </w:tcPr>
          <w:p w14:paraId="0ADACA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537218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45" w:type="dxa"/>
            <w:noWrap/>
            <w:vAlign w:val="center"/>
          </w:tcPr>
          <w:p w14:paraId="3BA24EE8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4</w:t>
            </w:r>
          </w:p>
        </w:tc>
        <w:tc>
          <w:tcPr>
            <w:tcW w:w="4361" w:type="dxa"/>
            <w:noWrap/>
            <w:vAlign w:val="center"/>
          </w:tcPr>
          <w:p w14:paraId="277E249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«Развитие культуры в Богородском муниципальном округе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02DBC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302 870,00</w:t>
            </w:r>
          </w:p>
        </w:tc>
        <w:tc>
          <w:tcPr>
            <w:tcW w:w="1288" w:type="dxa"/>
            <w:noWrap/>
            <w:vAlign w:val="center"/>
          </w:tcPr>
          <w:p w14:paraId="55D6A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296 583,52</w:t>
            </w:r>
          </w:p>
        </w:tc>
        <w:tc>
          <w:tcPr>
            <w:tcW w:w="1368" w:type="dxa"/>
            <w:noWrap/>
            <w:vAlign w:val="center"/>
          </w:tcPr>
          <w:p w14:paraId="5008E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6 286,48</w:t>
            </w:r>
          </w:p>
        </w:tc>
        <w:tc>
          <w:tcPr>
            <w:tcW w:w="716" w:type="dxa"/>
            <w:noWrap/>
            <w:vAlign w:val="center"/>
          </w:tcPr>
          <w:p w14:paraId="6AAB68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- 2,1 </w:t>
            </w:r>
          </w:p>
        </w:tc>
      </w:tr>
      <w:tr w14:paraId="048C92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dxa"/>
            <w:noWrap/>
            <w:vAlign w:val="center"/>
          </w:tcPr>
          <w:p w14:paraId="27B1DEFE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5</w:t>
            </w:r>
          </w:p>
        </w:tc>
        <w:tc>
          <w:tcPr>
            <w:tcW w:w="4361" w:type="dxa"/>
            <w:noWrap/>
            <w:vAlign w:val="center"/>
          </w:tcPr>
          <w:p w14:paraId="6BC0464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«Развитие физической культуры и спорта в Богородском муниципальном округе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4CA53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140 094,42</w:t>
            </w:r>
          </w:p>
        </w:tc>
        <w:tc>
          <w:tcPr>
            <w:tcW w:w="1288" w:type="dxa"/>
            <w:noWrap/>
            <w:vAlign w:val="center"/>
          </w:tcPr>
          <w:p w14:paraId="36730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140 094,42</w:t>
            </w:r>
          </w:p>
        </w:tc>
        <w:tc>
          <w:tcPr>
            <w:tcW w:w="1368" w:type="dxa"/>
            <w:noWrap/>
            <w:vAlign w:val="center"/>
          </w:tcPr>
          <w:p w14:paraId="3B5BB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16" w:type="dxa"/>
            <w:noWrap/>
            <w:vAlign w:val="center"/>
          </w:tcPr>
          <w:p w14:paraId="3E377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3C4F7D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dxa"/>
            <w:noWrap/>
            <w:vAlign w:val="center"/>
          </w:tcPr>
          <w:p w14:paraId="51CF65DF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6</w:t>
            </w:r>
          </w:p>
        </w:tc>
        <w:tc>
          <w:tcPr>
            <w:tcW w:w="4361" w:type="dxa"/>
            <w:noWrap/>
            <w:vAlign w:val="center"/>
          </w:tcPr>
          <w:p w14:paraId="20C4D7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«Развитие агропромышленного комплекса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6C59F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24 907,65</w:t>
            </w:r>
          </w:p>
        </w:tc>
        <w:tc>
          <w:tcPr>
            <w:tcW w:w="1288" w:type="dxa"/>
            <w:noWrap/>
            <w:vAlign w:val="center"/>
          </w:tcPr>
          <w:p w14:paraId="51C95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29 407,65</w:t>
            </w:r>
          </w:p>
        </w:tc>
        <w:tc>
          <w:tcPr>
            <w:tcW w:w="1368" w:type="dxa"/>
            <w:noWrap/>
            <w:vAlign w:val="center"/>
          </w:tcPr>
          <w:p w14:paraId="4BBD4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4 500,00</w:t>
            </w:r>
          </w:p>
        </w:tc>
        <w:tc>
          <w:tcPr>
            <w:tcW w:w="716" w:type="dxa"/>
            <w:noWrap/>
            <w:vAlign w:val="center"/>
          </w:tcPr>
          <w:p w14:paraId="0023A3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18,1 </w:t>
            </w:r>
          </w:p>
        </w:tc>
      </w:tr>
      <w:tr w14:paraId="1D8018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dxa"/>
            <w:noWrap/>
            <w:vAlign w:val="center"/>
          </w:tcPr>
          <w:p w14:paraId="55BBFBDE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7</w:t>
            </w:r>
          </w:p>
        </w:tc>
        <w:tc>
          <w:tcPr>
            <w:tcW w:w="4361" w:type="dxa"/>
            <w:noWrap/>
            <w:vAlign w:val="center"/>
          </w:tcPr>
          <w:p w14:paraId="22B0E3A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«Управление муниципальными финансами и муниципальным долгом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12B84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96 251,75</w:t>
            </w:r>
          </w:p>
        </w:tc>
        <w:tc>
          <w:tcPr>
            <w:tcW w:w="1288" w:type="dxa"/>
            <w:noWrap/>
            <w:vAlign w:val="center"/>
          </w:tcPr>
          <w:p w14:paraId="38AF0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95 951,75</w:t>
            </w:r>
          </w:p>
        </w:tc>
        <w:tc>
          <w:tcPr>
            <w:tcW w:w="1368" w:type="dxa"/>
            <w:noWrap/>
            <w:vAlign w:val="center"/>
          </w:tcPr>
          <w:p w14:paraId="76117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300,00</w:t>
            </w:r>
          </w:p>
        </w:tc>
        <w:tc>
          <w:tcPr>
            <w:tcW w:w="716" w:type="dxa"/>
            <w:noWrap/>
            <w:vAlign w:val="center"/>
          </w:tcPr>
          <w:p w14:paraId="412EE7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- 0,3 </w:t>
            </w:r>
          </w:p>
        </w:tc>
      </w:tr>
      <w:tr w14:paraId="71FC1C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dxa"/>
            <w:noWrap/>
            <w:vAlign w:val="center"/>
          </w:tcPr>
          <w:p w14:paraId="6C12AF7F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8</w:t>
            </w:r>
          </w:p>
        </w:tc>
        <w:tc>
          <w:tcPr>
            <w:tcW w:w="4361" w:type="dxa"/>
            <w:noWrap/>
            <w:vAlign w:val="center"/>
          </w:tcPr>
          <w:p w14:paraId="78370F5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«Управление муниципальным имуществом и земельными ресурсами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184B9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47 246,14</w:t>
            </w:r>
          </w:p>
        </w:tc>
        <w:tc>
          <w:tcPr>
            <w:tcW w:w="1288" w:type="dxa"/>
            <w:noWrap/>
            <w:vAlign w:val="center"/>
          </w:tcPr>
          <w:p w14:paraId="204A9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46 122,22</w:t>
            </w:r>
          </w:p>
        </w:tc>
        <w:tc>
          <w:tcPr>
            <w:tcW w:w="1368" w:type="dxa"/>
            <w:noWrap/>
            <w:vAlign w:val="center"/>
          </w:tcPr>
          <w:p w14:paraId="3A184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1 123,92</w:t>
            </w:r>
          </w:p>
        </w:tc>
        <w:tc>
          <w:tcPr>
            <w:tcW w:w="716" w:type="dxa"/>
            <w:noWrap/>
            <w:vAlign w:val="center"/>
          </w:tcPr>
          <w:p w14:paraId="1CDCB4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- 2,4 </w:t>
            </w:r>
          </w:p>
        </w:tc>
      </w:tr>
      <w:tr w14:paraId="40947E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dxa"/>
            <w:noWrap/>
            <w:vAlign w:val="center"/>
          </w:tcPr>
          <w:p w14:paraId="22E41BA3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9</w:t>
            </w:r>
          </w:p>
        </w:tc>
        <w:tc>
          <w:tcPr>
            <w:tcW w:w="4361" w:type="dxa"/>
            <w:noWrap/>
            <w:vAlign w:val="center"/>
          </w:tcPr>
          <w:p w14:paraId="4332D606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«Содействие развитию субъектов малого и среднего предпринимательства в Богородском муниципальном округе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23042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1 150,20</w:t>
            </w:r>
          </w:p>
        </w:tc>
        <w:tc>
          <w:tcPr>
            <w:tcW w:w="1288" w:type="dxa"/>
            <w:noWrap/>
            <w:vAlign w:val="center"/>
          </w:tcPr>
          <w:p w14:paraId="17EA1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1 150,20</w:t>
            </w:r>
          </w:p>
        </w:tc>
        <w:tc>
          <w:tcPr>
            <w:tcW w:w="1368" w:type="dxa"/>
            <w:noWrap/>
            <w:vAlign w:val="center"/>
          </w:tcPr>
          <w:p w14:paraId="3254B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16" w:type="dxa"/>
            <w:noWrap/>
            <w:vAlign w:val="center"/>
          </w:tcPr>
          <w:p w14:paraId="0F7B24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63848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dxa"/>
            <w:noWrap/>
            <w:vAlign w:val="center"/>
          </w:tcPr>
          <w:p w14:paraId="14919409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10</w:t>
            </w:r>
          </w:p>
        </w:tc>
        <w:tc>
          <w:tcPr>
            <w:tcW w:w="4361" w:type="dxa"/>
            <w:noWrap/>
            <w:vAlign w:val="center"/>
          </w:tcPr>
          <w:p w14:paraId="3F52305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«Развитие дорожного хозяйства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43A95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228 598,34</w:t>
            </w:r>
          </w:p>
        </w:tc>
        <w:tc>
          <w:tcPr>
            <w:tcW w:w="1288" w:type="dxa"/>
            <w:noWrap/>
            <w:vAlign w:val="center"/>
          </w:tcPr>
          <w:p w14:paraId="3960D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233 875,92</w:t>
            </w:r>
          </w:p>
        </w:tc>
        <w:tc>
          <w:tcPr>
            <w:tcW w:w="1368" w:type="dxa"/>
            <w:noWrap/>
            <w:vAlign w:val="center"/>
          </w:tcPr>
          <w:p w14:paraId="5216A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5 277,58</w:t>
            </w:r>
          </w:p>
        </w:tc>
        <w:tc>
          <w:tcPr>
            <w:tcW w:w="716" w:type="dxa"/>
            <w:noWrap/>
            <w:vAlign w:val="center"/>
          </w:tcPr>
          <w:p w14:paraId="6697AD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2,3 </w:t>
            </w:r>
          </w:p>
        </w:tc>
      </w:tr>
      <w:tr w14:paraId="50B7D9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45" w:type="dxa"/>
            <w:noWrap/>
            <w:vAlign w:val="center"/>
          </w:tcPr>
          <w:p w14:paraId="66293E8A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11</w:t>
            </w:r>
          </w:p>
        </w:tc>
        <w:tc>
          <w:tcPr>
            <w:tcW w:w="4361" w:type="dxa"/>
            <w:noWrap/>
            <w:vAlign w:val="center"/>
          </w:tcPr>
          <w:p w14:paraId="4704F5E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«Обеспечение населения Богородского муниципального округа Нижегородской области качественными услугами в сфере жилищно-коммунального хозяйства»</w:t>
            </w:r>
          </w:p>
        </w:tc>
        <w:tc>
          <w:tcPr>
            <w:tcW w:w="1547" w:type="dxa"/>
            <w:noWrap/>
            <w:vAlign w:val="center"/>
          </w:tcPr>
          <w:p w14:paraId="48BF3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369 246,11</w:t>
            </w:r>
          </w:p>
        </w:tc>
        <w:tc>
          <w:tcPr>
            <w:tcW w:w="1288" w:type="dxa"/>
            <w:noWrap/>
            <w:vAlign w:val="center"/>
          </w:tcPr>
          <w:p w14:paraId="5580E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374 892,34</w:t>
            </w:r>
          </w:p>
        </w:tc>
        <w:tc>
          <w:tcPr>
            <w:tcW w:w="1368" w:type="dxa"/>
            <w:noWrap/>
            <w:vAlign w:val="center"/>
          </w:tcPr>
          <w:p w14:paraId="0352D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5 646,23</w:t>
            </w:r>
          </w:p>
        </w:tc>
        <w:tc>
          <w:tcPr>
            <w:tcW w:w="716" w:type="dxa"/>
            <w:noWrap/>
            <w:vAlign w:val="center"/>
          </w:tcPr>
          <w:p w14:paraId="547A0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1,5 </w:t>
            </w:r>
          </w:p>
        </w:tc>
      </w:tr>
      <w:tr w14:paraId="19E525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dxa"/>
            <w:noWrap/>
            <w:vAlign w:val="center"/>
          </w:tcPr>
          <w:p w14:paraId="07B6A00A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12</w:t>
            </w:r>
          </w:p>
        </w:tc>
        <w:tc>
          <w:tcPr>
            <w:tcW w:w="4361" w:type="dxa"/>
            <w:noWrap/>
            <w:vAlign w:val="center"/>
          </w:tcPr>
          <w:p w14:paraId="50DBFC50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«Обеспечение безопасности жизнедеятельности населения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64AE8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97 504,77</w:t>
            </w:r>
          </w:p>
        </w:tc>
        <w:tc>
          <w:tcPr>
            <w:tcW w:w="1288" w:type="dxa"/>
            <w:noWrap/>
            <w:vAlign w:val="center"/>
          </w:tcPr>
          <w:p w14:paraId="375A0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97 914,77</w:t>
            </w:r>
          </w:p>
        </w:tc>
        <w:tc>
          <w:tcPr>
            <w:tcW w:w="1368" w:type="dxa"/>
            <w:noWrap/>
            <w:vAlign w:val="center"/>
          </w:tcPr>
          <w:p w14:paraId="54961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410,00</w:t>
            </w:r>
          </w:p>
        </w:tc>
        <w:tc>
          <w:tcPr>
            <w:tcW w:w="716" w:type="dxa"/>
            <w:noWrap/>
            <w:vAlign w:val="center"/>
          </w:tcPr>
          <w:p w14:paraId="33FE28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0,4 </w:t>
            </w:r>
          </w:p>
        </w:tc>
      </w:tr>
      <w:tr w14:paraId="0BB16C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dxa"/>
            <w:noWrap/>
            <w:vAlign w:val="center"/>
          </w:tcPr>
          <w:p w14:paraId="6A72C949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13</w:t>
            </w:r>
          </w:p>
        </w:tc>
        <w:tc>
          <w:tcPr>
            <w:tcW w:w="4361" w:type="dxa"/>
            <w:noWrap/>
            <w:vAlign w:val="center"/>
          </w:tcPr>
          <w:p w14:paraId="73B183C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«Информационное общество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702E6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26 767,61</w:t>
            </w:r>
          </w:p>
        </w:tc>
        <w:tc>
          <w:tcPr>
            <w:tcW w:w="1288" w:type="dxa"/>
            <w:noWrap/>
            <w:vAlign w:val="center"/>
          </w:tcPr>
          <w:p w14:paraId="7CAB0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27 737,61</w:t>
            </w:r>
          </w:p>
        </w:tc>
        <w:tc>
          <w:tcPr>
            <w:tcW w:w="1368" w:type="dxa"/>
            <w:noWrap/>
            <w:vAlign w:val="center"/>
          </w:tcPr>
          <w:p w14:paraId="45E5D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970,00</w:t>
            </w:r>
          </w:p>
        </w:tc>
        <w:tc>
          <w:tcPr>
            <w:tcW w:w="716" w:type="dxa"/>
            <w:noWrap/>
            <w:vAlign w:val="center"/>
          </w:tcPr>
          <w:p w14:paraId="596756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3,6 </w:t>
            </w:r>
          </w:p>
        </w:tc>
      </w:tr>
      <w:tr w14:paraId="47C08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dxa"/>
            <w:noWrap/>
            <w:vAlign w:val="center"/>
          </w:tcPr>
          <w:p w14:paraId="21D997FA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14</w:t>
            </w:r>
          </w:p>
        </w:tc>
        <w:tc>
          <w:tcPr>
            <w:tcW w:w="4361" w:type="dxa"/>
            <w:noWrap/>
            <w:vAlign w:val="center"/>
          </w:tcPr>
          <w:p w14:paraId="26F7DFE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«Развитие муниципальной службы в Богородском муниципальном округе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2FD6A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173 866,22</w:t>
            </w:r>
          </w:p>
        </w:tc>
        <w:tc>
          <w:tcPr>
            <w:tcW w:w="1288" w:type="dxa"/>
            <w:noWrap/>
            <w:vAlign w:val="center"/>
          </w:tcPr>
          <w:p w14:paraId="2A37B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173 866,22</w:t>
            </w:r>
          </w:p>
        </w:tc>
        <w:tc>
          <w:tcPr>
            <w:tcW w:w="1368" w:type="dxa"/>
            <w:noWrap/>
            <w:vAlign w:val="center"/>
          </w:tcPr>
          <w:p w14:paraId="58AC9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16" w:type="dxa"/>
            <w:noWrap/>
            <w:vAlign w:val="center"/>
          </w:tcPr>
          <w:p w14:paraId="76B30E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666D5D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445" w:type="dxa"/>
            <w:noWrap/>
            <w:vAlign w:val="center"/>
          </w:tcPr>
          <w:p w14:paraId="07DC8D1B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15</w:t>
            </w:r>
          </w:p>
        </w:tc>
        <w:tc>
          <w:tcPr>
            <w:tcW w:w="4361" w:type="dxa"/>
            <w:noWrap/>
            <w:vAlign w:val="center"/>
          </w:tcPr>
          <w:p w14:paraId="220E367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«Формирование комфортной городской среды на территории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72952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240 178,88</w:t>
            </w:r>
          </w:p>
        </w:tc>
        <w:tc>
          <w:tcPr>
            <w:tcW w:w="1288" w:type="dxa"/>
            <w:noWrap/>
            <w:vAlign w:val="center"/>
          </w:tcPr>
          <w:p w14:paraId="2C772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239 649,88</w:t>
            </w:r>
          </w:p>
        </w:tc>
        <w:tc>
          <w:tcPr>
            <w:tcW w:w="1368" w:type="dxa"/>
            <w:noWrap/>
            <w:vAlign w:val="center"/>
          </w:tcPr>
          <w:p w14:paraId="4F8B5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529,00</w:t>
            </w:r>
          </w:p>
        </w:tc>
        <w:tc>
          <w:tcPr>
            <w:tcW w:w="716" w:type="dxa"/>
            <w:noWrap/>
            <w:vAlign w:val="center"/>
          </w:tcPr>
          <w:p w14:paraId="6986D1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- 0,2 </w:t>
            </w:r>
          </w:p>
        </w:tc>
      </w:tr>
      <w:tr w14:paraId="674362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dxa"/>
            <w:noWrap/>
            <w:vAlign w:val="center"/>
          </w:tcPr>
          <w:p w14:paraId="3B65FBAD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16</w:t>
            </w:r>
          </w:p>
        </w:tc>
        <w:tc>
          <w:tcPr>
            <w:tcW w:w="4361" w:type="dxa"/>
            <w:noWrap/>
            <w:vAlign w:val="center"/>
          </w:tcPr>
          <w:p w14:paraId="07E32271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«Улучшение качества жизни и обеспечение безопасности жителей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763DC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215 748,07</w:t>
            </w:r>
          </w:p>
        </w:tc>
        <w:tc>
          <w:tcPr>
            <w:tcW w:w="1288" w:type="dxa"/>
            <w:noWrap/>
            <w:vAlign w:val="center"/>
          </w:tcPr>
          <w:p w14:paraId="1B781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221 776,77</w:t>
            </w:r>
          </w:p>
        </w:tc>
        <w:tc>
          <w:tcPr>
            <w:tcW w:w="1368" w:type="dxa"/>
            <w:noWrap/>
            <w:vAlign w:val="center"/>
          </w:tcPr>
          <w:p w14:paraId="1EA56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6 028,70</w:t>
            </w:r>
          </w:p>
        </w:tc>
        <w:tc>
          <w:tcPr>
            <w:tcW w:w="716" w:type="dxa"/>
            <w:noWrap/>
            <w:vAlign w:val="center"/>
          </w:tcPr>
          <w:p w14:paraId="0A5EDF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2,8 </w:t>
            </w:r>
          </w:p>
        </w:tc>
      </w:tr>
      <w:tr w14:paraId="7E2CB1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dxa"/>
            <w:noWrap/>
            <w:vAlign w:val="center"/>
          </w:tcPr>
          <w:p w14:paraId="7701E6E0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17</w:t>
            </w:r>
          </w:p>
        </w:tc>
        <w:tc>
          <w:tcPr>
            <w:tcW w:w="4361" w:type="dxa"/>
            <w:noWrap/>
            <w:vAlign w:val="center"/>
          </w:tcPr>
          <w:p w14:paraId="64105AE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«Энергосбережение и повышение энергетической эффективности в организациях с участием муниципального образования Богородский муниципальный округ»</w:t>
            </w:r>
          </w:p>
        </w:tc>
        <w:tc>
          <w:tcPr>
            <w:tcW w:w="1547" w:type="dxa"/>
            <w:noWrap/>
            <w:vAlign w:val="center"/>
          </w:tcPr>
          <w:p w14:paraId="3FA90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30,00</w:t>
            </w:r>
          </w:p>
        </w:tc>
        <w:tc>
          <w:tcPr>
            <w:tcW w:w="1288" w:type="dxa"/>
            <w:noWrap/>
            <w:vAlign w:val="center"/>
          </w:tcPr>
          <w:p w14:paraId="0E89C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30,00</w:t>
            </w:r>
          </w:p>
        </w:tc>
        <w:tc>
          <w:tcPr>
            <w:tcW w:w="1368" w:type="dxa"/>
            <w:noWrap/>
            <w:vAlign w:val="center"/>
          </w:tcPr>
          <w:p w14:paraId="363AE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16" w:type="dxa"/>
            <w:noWrap/>
            <w:vAlign w:val="center"/>
          </w:tcPr>
          <w:p w14:paraId="06FA8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154D32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" w:hRule="atLeast"/>
        </w:trPr>
        <w:tc>
          <w:tcPr>
            <w:tcW w:w="445" w:type="dxa"/>
            <w:noWrap/>
          </w:tcPr>
          <w:p w14:paraId="54FCD3BA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4361" w:type="dxa"/>
            <w:noWrap/>
          </w:tcPr>
          <w:p w14:paraId="0E7996E6">
            <w:pPr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b/>
                <w:bCs/>
                <w:color w:val="auto"/>
                <w:sz w:val="20"/>
                <w:szCs w:val="20"/>
                <w:lang w:val="en-US" w:eastAsia="zh-CN"/>
              </w:rPr>
              <w:t>Всего:</w:t>
            </w:r>
          </w:p>
        </w:tc>
        <w:tc>
          <w:tcPr>
            <w:tcW w:w="1547" w:type="dxa"/>
            <w:noWrap/>
            <w:vAlign w:val="center"/>
          </w:tcPr>
          <w:p w14:paraId="06C47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993 561,87</w:t>
            </w:r>
          </w:p>
        </w:tc>
        <w:tc>
          <w:tcPr>
            <w:tcW w:w="1288" w:type="dxa"/>
            <w:noWrap/>
            <w:vAlign w:val="center"/>
          </w:tcPr>
          <w:p w14:paraId="47F46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008 988,68</w:t>
            </w:r>
          </w:p>
        </w:tc>
        <w:tc>
          <w:tcPr>
            <w:tcW w:w="1368" w:type="dxa"/>
            <w:noWrap/>
            <w:vAlign w:val="center"/>
          </w:tcPr>
          <w:p w14:paraId="48F89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15 426,81</w:t>
            </w:r>
          </w:p>
        </w:tc>
        <w:tc>
          <w:tcPr>
            <w:tcW w:w="716" w:type="dxa"/>
            <w:noWrap/>
            <w:vAlign w:val="center"/>
          </w:tcPr>
          <w:p w14:paraId="4A8537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0,4 </w:t>
            </w:r>
          </w:p>
        </w:tc>
      </w:tr>
    </w:tbl>
    <w:p w14:paraId="2DAED128">
      <w:pPr>
        <w:spacing w:after="0" w:line="240" w:lineRule="auto"/>
        <w:jc w:val="both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color w:val="auto"/>
          <w:sz w:val="26"/>
          <w:szCs w:val="26"/>
        </w:rPr>
        <w:t xml:space="preserve">Основные изменения финансового обеспечения предусмотрены по муниципальным программам 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>«Развитие агропромышленного комплекса Богородского муниципального округа Нижегородской области</w:t>
      </w:r>
      <w:r>
        <w:rPr>
          <w:rFonts w:hint="default" w:ascii="Times New Roman" w:hAnsi="Times New Roman" w:eastAsia="SimSun"/>
          <w:color w:val="auto"/>
          <w:sz w:val="26"/>
          <w:szCs w:val="26"/>
          <w:lang w:val="ru-RU" w:eastAsia="zh-CN"/>
        </w:rPr>
        <w:t xml:space="preserve">» 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 xml:space="preserve">с </w:t>
      </w:r>
      <w:r>
        <w:rPr>
          <w:rFonts w:ascii="Times New Roman" w:hAnsi="Times New Roman" w:eastAsia="SimSun"/>
          <w:color w:val="auto"/>
          <w:sz w:val="26"/>
          <w:szCs w:val="26"/>
          <w:lang w:val="ru-RU" w:eastAsia="zh-CN"/>
        </w:rPr>
        <w:t>увеличени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 xml:space="preserve">ем на </w:t>
      </w:r>
      <w:r>
        <w:rPr>
          <w:rFonts w:hint="default" w:ascii="Times New Roman" w:hAnsi="Times New Roman" w:eastAsia="SimSun" w:cs="Times New Roman"/>
          <w:i w:val="0"/>
          <w:iCs w:val="0"/>
          <w:color w:val="auto"/>
          <w:kern w:val="0"/>
          <w:sz w:val="26"/>
          <w:szCs w:val="26"/>
          <w:u w:val="none"/>
          <w:lang w:val="ru-RU" w:eastAsia="zh-CN" w:bidi="ar"/>
        </w:rPr>
        <w:t>4 500,00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 xml:space="preserve"> тыс.</w:t>
      </w:r>
      <w:r>
        <w:rPr>
          <w:rFonts w:ascii="Times New Roman" w:hAnsi="Times New Roman" w:eastAsia="SimSun"/>
          <w:color w:val="auto"/>
          <w:sz w:val="26"/>
          <w:szCs w:val="26"/>
          <w:lang w:val="ru-RU" w:eastAsia="zh-CN"/>
        </w:rPr>
        <w:t>р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>ублей</w:t>
      </w:r>
      <w:r>
        <w:rPr>
          <w:rFonts w:hint="default" w:ascii="Times New Roman" w:hAnsi="Times New Roman" w:eastAsia="SimSun"/>
          <w:color w:val="auto"/>
          <w:sz w:val="26"/>
          <w:szCs w:val="26"/>
          <w:lang w:val="ru-RU" w:eastAsia="zh-CN"/>
        </w:rPr>
        <w:t xml:space="preserve"> (или 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 xml:space="preserve">на </w:t>
      </w:r>
      <w:r>
        <w:rPr>
          <w:rFonts w:hint="default" w:ascii="Times New Roman" w:hAnsi="Times New Roman" w:eastAsia="SimSun"/>
          <w:color w:val="auto"/>
          <w:sz w:val="26"/>
          <w:szCs w:val="26"/>
          <w:lang w:val="ru-RU" w:eastAsia="zh-CN"/>
        </w:rPr>
        <w:t>18,1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 xml:space="preserve"> %), «Информационное общество Богородского муниципального округа Нижегородской области» с </w:t>
      </w:r>
      <w:r>
        <w:rPr>
          <w:rFonts w:ascii="Times New Roman" w:hAnsi="Times New Roman" w:eastAsia="SimSun"/>
          <w:color w:val="auto"/>
          <w:sz w:val="26"/>
          <w:szCs w:val="26"/>
          <w:lang w:val="ru-RU" w:eastAsia="zh-CN"/>
        </w:rPr>
        <w:t>увеличени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 xml:space="preserve">ем на </w:t>
      </w:r>
      <w:r>
        <w:rPr>
          <w:rFonts w:hint="default" w:ascii="Times New Roman" w:hAnsi="Times New Roman" w:eastAsia="SimSun" w:cs="Times New Roman"/>
          <w:i w:val="0"/>
          <w:iCs w:val="0"/>
          <w:color w:val="auto"/>
          <w:kern w:val="0"/>
          <w:sz w:val="26"/>
          <w:szCs w:val="26"/>
          <w:u w:val="none"/>
          <w:lang w:val="ru-RU" w:eastAsia="zh-CN" w:bidi="ar"/>
        </w:rPr>
        <w:t>970,00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 xml:space="preserve"> тыс. рублей (или на </w:t>
      </w:r>
      <w:r>
        <w:rPr>
          <w:rFonts w:hint="default" w:ascii="Times New Roman" w:hAnsi="Times New Roman" w:eastAsia="SimSun"/>
          <w:color w:val="auto"/>
          <w:sz w:val="26"/>
          <w:szCs w:val="26"/>
          <w:lang w:val="ru-RU" w:eastAsia="zh-CN"/>
        </w:rPr>
        <w:t xml:space="preserve">3,6 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>%), «Улучшение качества жизни и обеспечение безопасности жителей Богородского муниципального округа Нижегородской области»</w:t>
      </w:r>
      <w:r>
        <w:rPr>
          <w:rFonts w:ascii="Times New Roman" w:hAnsi="Times New Roman" w:eastAsiaTheme="minorEastAsia"/>
          <w:color w:val="auto"/>
          <w:sz w:val="26"/>
          <w:szCs w:val="26"/>
        </w:rPr>
        <w:t xml:space="preserve"> </w:t>
      </w:r>
      <w:r>
        <w:rPr>
          <w:rFonts w:ascii="Times New Roman" w:hAnsi="Times New Roman" w:eastAsiaTheme="minorEastAsia"/>
          <w:color w:val="auto"/>
          <w:sz w:val="26"/>
          <w:szCs w:val="26"/>
          <w:lang w:val="ru-RU"/>
        </w:rPr>
        <w:t>с</w:t>
      </w:r>
      <w:r>
        <w:rPr>
          <w:rFonts w:hint="default" w:ascii="Times New Roman" w:hAnsi="Times New Roman" w:eastAsiaTheme="minorEastAsia"/>
          <w:color w:val="auto"/>
          <w:sz w:val="26"/>
          <w:szCs w:val="26"/>
          <w:lang w:val="ru-RU"/>
        </w:rPr>
        <w:t xml:space="preserve"> </w:t>
      </w:r>
      <w:r>
        <w:rPr>
          <w:rFonts w:ascii="Times New Roman" w:hAnsi="Times New Roman" w:eastAsiaTheme="minorEastAsia"/>
          <w:color w:val="auto"/>
          <w:sz w:val="26"/>
          <w:szCs w:val="26"/>
        </w:rPr>
        <w:t>у</w:t>
      </w:r>
      <w:r>
        <w:rPr>
          <w:rFonts w:ascii="Times New Roman" w:hAnsi="Times New Roman" w:eastAsiaTheme="minorEastAsia"/>
          <w:color w:val="auto"/>
          <w:sz w:val="26"/>
          <w:szCs w:val="26"/>
          <w:lang w:val="ru-RU"/>
        </w:rPr>
        <w:t>величен</w:t>
      </w:r>
      <w:r>
        <w:rPr>
          <w:rFonts w:ascii="Times New Roman" w:hAnsi="Times New Roman" w:eastAsiaTheme="minorEastAsia"/>
          <w:color w:val="auto"/>
          <w:sz w:val="26"/>
          <w:szCs w:val="26"/>
        </w:rPr>
        <w:t>и</w:t>
      </w:r>
      <w:r>
        <w:rPr>
          <w:rFonts w:ascii="Times New Roman" w:hAnsi="Times New Roman" w:eastAsiaTheme="minorEastAsia"/>
          <w:color w:val="auto"/>
          <w:sz w:val="26"/>
          <w:szCs w:val="26"/>
          <w:lang w:val="ru-RU"/>
        </w:rPr>
        <w:t>ем</w:t>
      </w:r>
      <w:r>
        <w:rPr>
          <w:rFonts w:ascii="Times New Roman" w:hAnsi="Times New Roman" w:eastAsiaTheme="minorEastAsia"/>
          <w:color w:val="auto"/>
          <w:sz w:val="26"/>
          <w:szCs w:val="26"/>
        </w:rPr>
        <w:t xml:space="preserve"> на </w:t>
      </w:r>
      <w:r>
        <w:rPr>
          <w:rFonts w:hint="default" w:ascii="Times New Roman" w:hAnsi="Times New Roman" w:eastAsia="SimSun" w:cs="Times New Roman"/>
          <w:i w:val="0"/>
          <w:iCs w:val="0"/>
          <w:color w:val="auto"/>
          <w:kern w:val="0"/>
          <w:sz w:val="26"/>
          <w:szCs w:val="26"/>
          <w:u w:val="none"/>
          <w:lang w:val="ru-RU" w:eastAsia="zh-CN" w:bidi="ar"/>
        </w:rPr>
        <w:t>6 028,70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 xml:space="preserve"> </w:t>
      </w:r>
      <w:r>
        <w:rPr>
          <w:rFonts w:ascii="Times New Roman" w:hAnsi="Times New Roman" w:eastAsiaTheme="minorEastAsia"/>
          <w:color w:val="auto"/>
          <w:sz w:val="26"/>
          <w:szCs w:val="26"/>
        </w:rPr>
        <w:t xml:space="preserve">тыс. рублей (или на </w:t>
      </w:r>
      <w:r>
        <w:rPr>
          <w:rFonts w:hint="default" w:ascii="Times New Roman" w:hAnsi="Times New Roman" w:eastAsiaTheme="minorEastAsia"/>
          <w:color w:val="auto"/>
          <w:sz w:val="26"/>
          <w:szCs w:val="26"/>
          <w:lang w:val="ru-RU"/>
        </w:rPr>
        <w:t>2,8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 xml:space="preserve"> %</w:t>
      </w:r>
      <w:r>
        <w:rPr>
          <w:rFonts w:ascii="Times New Roman" w:hAnsi="Times New Roman"/>
          <w:color w:val="auto"/>
          <w:sz w:val="26"/>
          <w:szCs w:val="26"/>
        </w:rPr>
        <w:t>).</w:t>
      </w:r>
    </w:p>
    <w:p w14:paraId="209CEB99">
      <w:pPr>
        <w:pStyle w:val="190"/>
        <w:spacing w:line="240" w:lineRule="auto"/>
        <w:ind w:left="0"/>
        <w:jc w:val="both"/>
        <w:rPr>
          <w:rFonts w:hint="default" w:ascii="Times New Roman" w:hAnsi="Times New Roman"/>
          <w:color w:val="000000"/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 xml:space="preserve">Непрограммные расходы составили </w:t>
      </w:r>
      <w:r>
        <w:rPr>
          <w:rFonts w:hint="default" w:ascii="Times New Roman" w:hAnsi="Times New Roman"/>
          <w:color w:val="000000"/>
          <w:sz w:val="26"/>
          <w:szCs w:val="26"/>
        </w:rPr>
        <w:t>44</w:t>
      </w:r>
      <w:r>
        <w:rPr>
          <w:rFonts w:hint="default" w:ascii="Times New Roman" w:hAnsi="Times New Roman"/>
          <w:color w:val="000000"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/>
          <w:color w:val="000000"/>
          <w:sz w:val="26"/>
          <w:szCs w:val="26"/>
        </w:rPr>
        <w:t>562,5</w:t>
      </w:r>
      <w:r>
        <w:rPr>
          <w:rFonts w:hint="default" w:ascii="Times New Roman" w:hAnsi="Times New Roman"/>
          <w:color w:val="000000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тыс.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>р</w:t>
      </w:r>
      <w:r>
        <w:rPr>
          <w:rFonts w:ascii="Times New Roman" w:hAnsi="Times New Roman"/>
          <w:color w:val="000000"/>
          <w:sz w:val="26"/>
          <w:szCs w:val="26"/>
        </w:rPr>
        <w:t>ублей</w:t>
      </w:r>
      <w:r>
        <w:rPr>
          <w:rFonts w:hint="default" w:ascii="Times New Roman" w:hAnsi="Times New Roman"/>
          <w:color w:val="000000"/>
          <w:sz w:val="26"/>
          <w:szCs w:val="26"/>
          <w:lang w:val="ru-RU"/>
        </w:rPr>
        <w:t>, увеличились на 1 068,49 тыс.рублей.</w:t>
      </w:r>
    </w:p>
    <w:p w14:paraId="18793364">
      <w:pPr>
        <w:pStyle w:val="190"/>
        <w:spacing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5006B0F6">
      <w:pPr>
        <w:pStyle w:val="190"/>
        <w:numPr>
          <w:ilvl w:val="0"/>
          <w:numId w:val="2"/>
        </w:numPr>
        <w:spacing w:before="240" w:after="0" w:line="240" w:lineRule="auto"/>
        <w:ind w:left="0" w:firstLine="658" w:firstLineChars="253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Основные изменения по источникам финансирования дефицита бюджета</w:t>
      </w:r>
    </w:p>
    <w:p w14:paraId="236627D5">
      <w:pPr>
        <w:spacing w:after="0" w:line="240" w:lineRule="auto"/>
        <w:ind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Проектом решения предусмотрено исполнение местного бюджета с дефицитом в сумме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  <w:lang w:val="ru-RU"/>
        </w:rPr>
        <w:t>311 297,36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тыс. рублей. В качестве источников внутреннего финансирования дефицита бюджета предусмотрена разница между привлеченными и погашенными кредитами кредитных организаций в валюте Российской Федерации в сумме 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  <w:lang w:val="ru-RU"/>
        </w:rPr>
        <w:t>60 000,00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тыс. 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  <w:lang w:val="ru-RU"/>
        </w:rPr>
        <w:t xml:space="preserve">рублей и изменение остатков средств на счетах по учету средств бюджета в сумме 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</w:rPr>
        <w:t>2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  <w:lang w:val="ru-RU"/>
        </w:rPr>
        <w:t xml:space="preserve">51 297,36 </w:t>
      </w:r>
      <w:r>
        <w:rPr>
          <w:rFonts w:ascii="Times New Roman" w:hAnsi="Times New Roman"/>
          <w:sz w:val="26"/>
          <w:szCs w:val="26"/>
        </w:rPr>
        <w:t xml:space="preserve">решения о бюджете соблюдены требования и ограничения, установленные Бюджетным кодексом Российской Федерации: </w:t>
      </w:r>
    </w:p>
    <w:p w14:paraId="7BAEF59B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п. 5 ст. 179.4 – по объему бюджетных ассигнований дорожного фонда </w:t>
      </w:r>
      <w:r>
        <w:rPr>
          <w:rFonts w:ascii="Times New Roman" w:hAnsi="Times New Roman"/>
          <w:color w:val="000000"/>
          <w:sz w:val="26"/>
          <w:szCs w:val="26"/>
        </w:rPr>
        <w:t>Богородского муниципального округа Нижегородской области</w:t>
      </w:r>
      <w:r>
        <w:rPr>
          <w:rFonts w:ascii="Times New Roman" w:hAnsi="Times New Roman"/>
          <w:sz w:val="26"/>
          <w:szCs w:val="26"/>
        </w:rPr>
        <w:t xml:space="preserve">, </w:t>
      </w:r>
    </w:p>
    <w:p w14:paraId="2C95658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п. 3 ст. 184.1 – по общему объему условно утверждаемых расходов. </w:t>
      </w:r>
    </w:p>
    <w:p w14:paraId="5FCFED84">
      <w:pPr>
        <w:spacing w:after="0" w:line="240" w:lineRule="auto"/>
        <w:ind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п. 3 ст. 92.1 – по размеру дефицита бюджета.</w:t>
      </w:r>
    </w:p>
    <w:p w14:paraId="18EFB987">
      <w:pPr>
        <w:pStyle w:val="20"/>
        <w:spacing w:after="0" w:line="240" w:lineRule="auto"/>
        <w:ind w:left="0" w:firstLine="657" w:firstLineChars="253"/>
        <w:jc w:val="both"/>
        <w:rPr>
          <w:sz w:val="26"/>
          <w:szCs w:val="26"/>
        </w:rPr>
      </w:pPr>
      <w:r>
        <w:rPr>
          <w:sz w:val="26"/>
          <w:szCs w:val="26"/>
        </w:rPr>
        <w:t>Представленный проект решения не противоречит действующему законодательству и рекомендуется к рассмотрению на заседании Совета депутатов Богородского муниципального округа Нижегородской области.</w:t>
      </w:r>
    </w:p>
    <w:p w14:paraId="6C8950B4">
      <w:pPr>
        <w:pStyle w:val="190"/>
        <w:spacing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AC6E265">
      <w:pPr>
        <w:pStyle w:val="190"/>
        <w:spacing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26566611">
      <w:pPr>
        <w:pStyle w:val="190"/>
        <w:spacing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Председатель контрольно-счетной</w:t>
      </w:r>
    </w:p>
    <w:p w14:paraId="580AB218">
      <w:pPr>
        <w:pStyle w:val="190"/>
        <w:spacing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комиссии Богородского муниципального </w:t>
      </w:r>
    </w:p>
    <w:p w14:paraId="56C867CD">
      <w:pPr>
        <w:pStyle w:val="190"/>
        <w:spacing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округа Нижегородской области</w:t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 xml:space="preserve">          Н.В.Гуськова </w:t>
      </w:r>
    </w:p>
    <w:p w14:paraId="49069BC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hint="default" w:ascii="Times New Roman" w:hAnsi="Times New Roman"/>
          <w:color w:val="000000"/>
          <w:sz w:val="24"/>
          <w:lang w:val="ru-RU"/>
        </w:rPr>
        <w:t>16.06.</w:t>
      </w:r>
      <w:r>
        <w:rPr>
          <w:rFonts w:ascii="Times New Roman" w:hAnsi="Times New Roman"/>
          <w:color w:val="000000"/>
          <w:sz w:val="24"/>
        </w:rPr>
        <w:t>202</w:t>
      </w:r>
      <w:r>
        <w:rPr>
          <w:rFonts w:hint="default" w:ascii="Times New Roman" w:hAnsi="Times New Roman"/>
          <w:color w:val="000000"/>
          <w:sz w:val="24"/>
          <w:lang w:val="ru-RU"/>
        </w:rPr>
        <w:t>6</w:t>
      </w:r>
    </w:p>
    <w:sectPr>
      <w:pgSz w:w="11906" w:h="16838"/>
      <w:pgMar w:top="993" w:right="745" w:bottom="1135" w:left="148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E3AC70"/>
    <w:multiLevelType w:val="singleLevel"/>
    <w:tmpl w:val="D1E3AC70"/>
    <w:lvl w:ilvl="0" w:tentative="0">
      <w:start w:val="1"/>
      <w:numFmt w:val="decimal"/>
      <w:suff w:val="space"/>
      <w:lvlText w:val="%1)"/>
      <w:lvlJc w:val="left"/>
    </w:lvl>
  </w:abstractNum>
  <w:abstractNum w:abstractNumId="1">
    <w:nsid w:val="15AF1B57"/>
    <w:multiLevelType w:val="multilevel"/>
    <w:tmpl w:val="15AF1B5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B02E6"/>
    <w:multiLevelType w:val="multilevel"/>
    <w:tmpl w:val="1D4B02E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none"/>
      <w:lvlText w:val=""/>
      <w:lvlJc w:val="left"/>
      <w:pPr>
        <w:tabs>
          <w:tab w:val="left" w:pos="360"/>
        </w:tabs>
      </w:pPr>
    </w:lvl>
    <w:lvl w:ilvl="2" w:tentative="0">
      <w:start w:val="1"/>
      <w:numFmt w:val="none"/>
      <w:lvlText w:val=""/>
      <w:lvlJc w:val="left"/>
      <w:pPr>
        <w:tabs>
          <w:tab w:val="left" w:pos="360"/>
        </w:tabs>
      </w:pPr>
    </w:lvl>
    <w:lvl w:ilvl="3" w:tentative="0">
      <w:start w:val="1"/>
      <w:numFmt w:val="none"/>
      <w:lvlText w:val=""/>
      <w:lvlJc w:val="left"/>
      <w:pPr>
        <w:tabs>
          <w:tab w:val="left" w:pos="360"/>
        </w:tabs>
      </w:pPr>
    </w:lvl>
    <w:lvl w:ilvl="4" w:tentative="0">
      <w:start w:val="1"/>
      <w:numFmt w:val="none"/>
      <w:lvlText w:val=""/>
      <w:lvlJc w:val="left"/>
      <w:pPr>
        <w:tabs>
          <w:tab w:val="left" w:pos="360"/>
        </w:tabs>
      </w:pPr>
    </w:lvl>
    <w:lvl w:ilvl="5" w:tentative="0">
      <w:start w:val="1"/>
      <w:numFmt w:val="none"/>
      <w:lvlText w:val=""/>
      <w:lvlJc w:val="left"/>
      <w:pPr>
        <w:tabs>
          <w:tab w:val="left" w:pos="360"/>
        </w:tabs>
      </w:pPr>
    </w:lvl>
    <w:lvl w:ilvl="6" w:tentative="0">
      <w:start w:val="1"/>
      <w:numFmt w:val="none"/>
      <w:lvlText w:val=""/>
      <w:lvlJc w:val="left"/>
      <w:pPr>
        <w:tabs>
          <w:tab w:val="left" w:pos="360"/>
        </w:tabs>
      </w:pPr>
    </w:lvl>
    <w:lvl w:ilvl="7" w:tentative="0">
      <w:start w:val="1"/>
      <w:numFmt w:val="none"/>
      <w:lvlText w:val=""/>
      <w:lvlJc w:val="left"/>
      <w:pPr>
        <w:tabs>
          <w:tab w:val="left" w:pos="360"/>
        </w:tabs>
      </w:pPr>
    </w:lvl>
    <w:lvl w:ilvl="8" w:tentative="0">
      <w:start w:val="1"/>
      <w:numFmt w:val="none"/>
      <w:lvlText w:val=""/>
      <w:lvlJc w:val="left"/>
      <w:pPr>
        <w:tabs>
          <w:tab w:val="left" w:pos="360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038"/>
    <w:rsid w:val="0000096D"/>
    <w:rsid w:val="00006AC2"/>
    <w:rsid w:val="000167CE"/>
    <w:rsid w:val="00021463"/>
    <w:rsid w:val="0004438D"/>
    <w:rsid w:val="00072D91"/>
    <w:rsid w:val="000A12F7"/>
    <w:rsid w:val="000A49BB"/>
    <w:rsid w:val="000B0B74"/>
    <w:rsid w:val="000F48F3"/>
    <w:rsid w:val="000F7FF5"/>
    <w:rsid w:val="00103BA2"/>
    <w:rsid w:val="001336DB"/>
    <w:rsid w:val="00142B2E"/>
    <w:rsid w:val="001431CF"/>
    <w:rsid w:val="00167EE0"/>
    <w:rsid w:val="001A1A4D"/>
    <w:rsid w:val="001B3D40"/>
    <w:rsid w:val="001B604B"/>
    <w:rsid w:val="001D0807"/>
    <w:rsid w:val="001E0B4E"/>
    <w:rsid w:val="001F49ED"/>
    <w:rsid w:val="002121AE"/>
    <w:rsid w:val="002371E6"/>
    <w:rsid w:val="00246A2F"/>
    <w:rsid w:val="002536E7"/>
    <w:rsid w:val="0026743D"/>
    <w:rsid w:val="00277333"/>
    <w:rsid w:val="00296286"/>
    <w:rsid w:val="002A33B6"/>
    <w:rsid w:val="002B2B27"/>
    <w:rsid w:val="002D2AD4"/>
    <w:rsid w:val="003039B2"/>
    <w:rsid w:val="00303C35"/>
    <w:rsid w:val="003141AA"/>
    <w:rsid w:val="00330709"/>
    <w:rsid w:val="003330AE"/>
    <w:rsid w:val="00341906"/>
    <w:rsid w:val="00356139"/>
    <w:rsid w:val="00362AE1"/>
    <w:rsid w:val="0039034C"/>
    <w:rsid w:val="00390B02"/>
    <w:rsid w:val="003D3419"/>
    <w:rsid w:val="004034E2"/>
    <w:rsid w:val="004454FA"/>
    <w:rsid w:val="004507E8"/>
    <w:rsid w:val="00450AE9"/>
    <w:rsid w:val="00453038"/>
    <w:rsid w:val="004A759A"/>
    <w:rsid w:val="004E18C6"/>
    <w:rsid w:val="004E716F"/>
    <w:rsid w:val="00502A76"/>
    <w:rsid w:val="00502BBF"/>
    <w:rsid w:val="00505924"/>
    <w:rsid w:val="005212CD"/>
    <w:rsid w:val="00522626"/>
    <w:rsid w:val="00522A16"/>
    <w:rsid w:val="00525441"/>
    <w:rsid w:val="00535A9A"/>
    <w:rsid w:val="005510F5"/>
    <w:rsid w:val="00563FA9"/>
    <w:rsid w:val="00572D62"/>
    <w:rsid w:val="005809EC"/>
    <w:rsid w:val="005973CE"/>
    <w:rsid w:val="005A24F7"/>
    <w:rsid w:val="005B3760"/>
    <w:rsid w:val="005B503A"/>
    <w:rsid w:val="00613BD2"/>
    <w:rsid w:val="006535F9"/>
    <w:rsid w:val="00665CBD"/>
    <w:rsid w:val="006672A0"/>
    <w:rsid w:val="006B2DA7"/>
    <w:rsid w:val="006C06B0"/>
    <w:rsid w:val="006C10F7"/>
    <w:rsid w:val="00710C19"/>
    <w:rsid w:val="007347DE"/>
    <w:rsid w:val="00736113"/>
    <w:rsid w:val="00763AD4"/>
    <w:rsid w:val="00770664"/>
    <w:rsid w:val="00774E16"/>
    <w:rsid w:val="00784A7E"/>
    <w:rsid w:val="007E4536"/>
    <w:rsid w:val="007F414C"/>
    <w:rsid w:val="0080443A"/>
    <w:rsid w:val="00832F51"/>
    <w:rsid w:val="00870D43"/>
    <w:rsid w:val="008A497C"/>
    <w:rsid w:val="008B0FBD"/>
    <w:rsid w:val="008C2A78"/>
    <w:rsid w:val="008C60B6"/>
    <w:rsid w:val="008E210C"/>
    <w:rsid w:val="008E28FA"/>
    <w:rsid w:val="008F034C"/>
    <w:rsid w:val="00905050"/>
    <w:rsid w:val="009179D1"/>
    <w:rsid w:val="00941B00"/>
    <w:rsid w:val="0098078B"/>
    <w:rsid w:val="00984E0E"/>
    <w:rsid w:val="009C0999"/>
    <w:rsid w:val="009C2694"/>
    <w:rsid w:val="009C6F8C"/>
    <w:rsid w:val="009E1460"/>
    <w:rsid w:val="009E16F3"/>
    <w:rsid w:val="00A04D18"/>
    <w:rsid w:val="00A54215"/>
    <w:rsid w:val="00A67B02"/>
    <w:rsid w:val="00A72867"/>
    <w:rsid w:val="00A87A72"/>
    <w:rsid w:val="00AA742D"/>
    <w:rsid w:val="00AB5A40"/>
    <w:rsid w:val="00AC3073"/>
    <w:rsid w:val="00AE3A60"/>
    <w:rsid w:val="00B12A47"/>
    <w:rsid w:val="00B12C5C"/>
    <w:rsid w:val="00B156DF"/>
    <w:rsid w:val="00B232BE"/>
    <w:rsid w:val="00B43A5D"/>
    <w:rsid w:val="00B55F6E"/>
    <w:rsid w:val="00B726DA"/>
    <w:rsid w:val="00B75C44"/>
    <w:rsid w:val="00B82753"/>
    <w:rsid w:val="00B82BAD"/>
    <w:rsid w:val="00BA1D1E"/>
    <w:rsid w:val="00BB2038"/>
    <w:rsid w:val="00BE1AB1"/>
    <w:rsid w:val="00BE2DE6"/>
    <w:rsid w:val="00BE31F9"/>
    <w:rsid w:val="00BF5847"/>
    <w:rsid w:val="00C241DB"/>
    <w:rsid w:val="00C3574E"/>
    <w:rsid w:val="00C5767B"/>
    <w:rsid w:val="00C6666F"/>
    <w:rsid w:val="00C916A5"/>
    <w:rsid w:val="00C91988"/>
    <w:rsid w:val="00C920E5"/>
    <w:rsid w:val="00D207F1"/>
    <w:rsid w:val="00D27083"/>
    <w:rsid w:val="00D3048A"/>
    <w:rsid w:val="00D35B25"/>
    <w:rsid w:val="00D4502C"/>
    <w:rsid w:val="00D758F6"/>
    <w:rsid w:val="00D80ADF"/>
    <w:rsid w:val="00DA65A2"/>
    <w:rsid w:val="00DB062D"/>
    <w:rsid w:val="00DC0280"/>
    <w:rsid w:val="00DC0B5A"/>
    <w:rsid w:val="00DD644F"/>
    <w:rsid w:val="00E03CE8"/>
    <w:rsid w:val="00E27D8C"/>
    <w:rsid w:val="00E351BF"/>
    <w:rsid w:val="00E45863"/>
    <w:rsid w:val="00E661F4"/>
    <w:rsid w:val="00E72892"/>
    <w:rsid w:val="00E86241"/>
    <w:rsid w:val="00EA352B"/>
    <w:rsid w:val="00EC4245"/>
    <w:rsid w:val="00ED5F12"/>
    <w:rsid w:val="00EE07CA"/>
    <w:rsid w:val="00EE5F20"/>
    <w:rsid w:val="00EF0584"/>
    <w:rsid w:val="00F047AB"/>
    <w:rsid w:val="00F302FC"/>
    <w:rsid w:val="00F430EB"/>
    <w:rsid w:val="00F7124C"/>
    <w:rsid w:val="00F85512"/>
    <w:rsid w:val="00F8698C"/>
    <w:rsid w:val="00FA031A"/>
    <w:rsid w:val="00FD1949"/>
    <w:rsid w:val="00FD34F5"/>
    <w:rsid w:val="00FF08C5"/>
    <w:rsid w:val="017C1F56"/>
    <w:rsid w:val="01EB50C9"/>
    <w:rsid w:val="033C59C6"/>
    <w:rsid w:val="03D72572"/>
    <w:rsid w:val="040F5773"/>
    <w:rsid w:val="05773987"/>
    <w:rsid w:val="069023CE"/>
    <w:rsid w:val="08506633"/>
    <w:rsid w:val="08A2026C"/>
    <w:rsid w:val="08C2146E"/>
    <w:rsid w:val="095D5331"/>
    <w:rsid w:val="09D0475C"/>
    <w:rsid w:val="0A57305D"/>
    <w:rsid w:val="0A663F99"/>
    <w:rsid w:val="0E6620EF"/>
    <w:rsid w:val="0E795E8E"/>
    <w:rsid w:val="0F1A6058"/>
    <w:rsid w:val="10AC4A40"/>
    <w:rsid w:val="123F21C2"/>
    <w:rsid w:val="15E55290"/>
    <w:rsid w:val="16387814"/>
    <w:rsid w:val="174A7134"/>
    <w:rsid w:val="174B23F8"/>
    <w:rsid w:val="1A212ADE"/>
    <w:rsid w:val="1B0D380B"/>
    <w:rsid w:val="1BA8257F"/>
    <w:rsid w:val="1D44409F"/>
    <w:rsid w:val="1EC5770B"/>
    <w:rsid w:val="20252C50"/>
    <w:rsid w:val="218D3C49"/>
    <w:rsid w:val="22804282"/>
    <w:rsid w:val="228F7F7C"/>
    <w:rsid w:val="271F52BE"/>
    <w:rsid w:val="278F0DF5"/>
    <w:rsid w:val="29557925"/>
    <w:rsid w:val="29CB32FD"/>
    <w:rsid w:val="2B995F99"/>
    <w:rsid w:val="2BD337CD"/>
    <w:rsid w:val="2C372864"/>
    <w:rsid w:val="2EB83193"/>
    <w:rsid w:val="2EFE0757"/>
    <w:rsid w:val="2F093B3A"/>
    <w:rsid w:val="303059B9"/>
    <w:rsid w:val="32B003EE"/>
    <w:rsid w:val="3647326D"/>
    <w:rsid w:val="36ED1F13"/>
    <w:rsid w:val="3B056CE2"/>
    <w:rsid w:val="3B745E2B"/>
    <w:rsid w:val="3C9F21FA"/>
    <w:rsid w:val="3CEC5B9B"/>
    <w:rsid w:val="3D800066"/>
    <w:rsid w:val="3E22754F"/>
    <w:rsid w:val="3E900341"/>
    <w:rsid w:val="3F8B2050"/>
    <w:rsid w:val="40520794"/>
    <w:rsid w:val="413C64BB"/>
    <w:rsid w:val="42016925"/>
    <w:rsid w:val="4386542C"/>
    <w:rsid w:val="441A52C7"/>
    <w:rsid w:val="441D1ACF"/>
    <w:rsid w:val="441D624B"/>
    <w:rsid w:val="475E7622"/>
    <w:rsid w:val="492A1A2C"/>
    <w:rsid w:val="4A2C570A"/>
    <w:rsid w:val="4CF22055"/>
    <w:rsid w:val="4CF46CCF"/>
    <w:rsid w:val="4F006252"/>
    <w:rsid w:val="4F7A20A8"/>
    <w:rsid w:val="503F49D5"/>
    <w:rsid w:val="50D97F6E"/>
    <w:rsid w:val="520A6B93"/>
    <w:rsid w:val="52D41C73"/>
    <w:rsid w:val="52E40364"/>
    <w:rsid w:val="53E57625"/>
    <w:rsid w:val="545819D6"/>
    <w:rsid w:val="546F7724"/>
    <w:rsid w:val="54890893"/>
    <w:rsid w:val="5B553D2A"/>
    <w:rsid w:val="5DAD533E"/>
    <w:rsid w:val="5DC913EB"/>
    <w:rsid w:val="5E805317"/>
    <w:rsid w:val="5E941AD8"/>
    <w:rsid w:val="60D81969"/>
    <w:rsid w:val="60E5134B"/>
    <w:rsid w:val="629835F8"/>
    <w:rsid w:val="63672527"/>
    <w:rsid w:val="64B7454D"/>
    <w:rsid w:val="67F56F1D"/>
    <w:rsid w:val="69D23A98"/>
    <w:rsid w:val="6AED06A1"/>
    <w:rsid w:val="6DEE6AE4"/>
    <w:rsid w:val="6E2F043D"/>
    <w:rsid w:val="6FA4387E"/>
    <w:rsid w:val="6FCA3275"/>
    <w:rsid w:val="72982AA9"/>
    <w:rsid w:val="743950BE"/>
    <w:rsid w:val="762B7CFF"/>
    <w:rsid w:val="77042FD3"/>
    <w:rsid w:val="7A324B98"/>
    <w:rsid w:val="7C09154E"/>
    <w:rsid w:val="7F9F0507"/>
    <w:rsid w:val="7FB638B2"/>
    <w:rsid w:val="7FFD24B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qFormat/>
    <w:uiPriority w:val="99"/>
    <w:rPr>
      <w:vertAlign w:val="superscript"/>
    </w:rPr>
  </w:style>
  <w:style w:type="character" w:styleId="6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endnote text"/>
    <w:basedOn w:val="1"/>
    <w:link w:val="188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8">
    <w:name w:val="footnote text"/>
    <w:basedOn w:val="1"/>
    <w:link w:val="187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1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1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3">
    <w:name w:val="toc 1"/>
    <w:basedOn w:val="1"/>
    <w:next w:val="1"/>
    <w:unhideWhenUsed/>
    <w:qFormat/>
    <w:uiPriority w:val="39"/>
    <w:pPr>
      <w:spacing w:after="57"/>
    </w:pPr>
  </w:style>
  <w:style w:type="paragraph" w:styleId="1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5">
    <w:name w:val="table of figures"/>
    <w:basedOn w:val="1"/>
    <w:next w:val="1"/>
    <w:unhideWhenUsed/>
    <w:qFormat/>
    <w:uiPriority w:val="99"/>
    <w:pPr>
      <w:spacing w:after="0"/>
    </w:pPr>
  </w:style>
  <w:style w:type="paragraph" w:styleId="16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7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8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9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0">
    <w:name w:val="Body Text Indent"/>
    <w:basedOn w:val="1"/>
    <w:link w:val="191"/>
    <w:qFormat/>
    <w:uiPriority w:val="0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21">
    <w:name w:val="Title"/>
    <w:basedOn w:val="1"/>
    <w:next w:val="1"/>
    <w:link w:val="50"/>
    <w:qFormat/>
    <w:uiPriority w:val="10"/>
    <w:pPr>
      <w:spacing w:before="300"/>
      <w:contextualSpacing/>
    </w:pPr>
    <w:rPr>
      <w:sz w:val="48"/>
      <w:szCs w:val="48"/>
    </w:rPr>
  </w:style>
  <w:style w:type="paragraph" w:styleId="22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23">
    <w:name w:val="Subtitle"/>
    <w:basedOn w:val="1"/>
    <w:next w:val="1"/>
    <w:link w:val="51"/>
    <w:qFormat/>
    <w:uiPriority w:val="11"/>
    <w:pPr>
      <w:spacing w:before="200"/>
    </w:pPr>
    <w:rPr>
      <w:sz w:val="24"/>
      <w:szCs w:val="24"/>
    </w:rPr>
  </w:style>
  <w:style w:type="table" w:styleId="24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Title Char"/>
    <w:basedOn w:val="2"/>
    <w:qFormat/>
    <w:uiPriority w:val="10"/>
    <w:rPr>
      <w:sz w:val="48"/>
      <w:szCs w:val="48"/>
    </w:rPr>
  </w:style>
  <w:style w:type="character" w:customStyle="1" w:styleId="26">
    <w:name w:val="Subtitle Char"/>
    <w:basedOn w:val="2"/>
    <w:qFormat/>
    <w:uiPriority w:val="11"/>
    <w:rPr>
      <w:sz w:val="24"/>
      <w:szCs w:val="24"/>
    </w:rPr>
  </w:style>
  <w:style w:type="character" w:customStyle="1" w:styleId="27">
    <w:name w:val="Quote Char"/>
    <w:qFormat/>
    <w:uiPriority w:val="29"/>
    <w:rPr>
      <w:i/>
    </w:rPr>
  </w:style>
  <w:style w:type="character" w:customStyle="1" w:styleId="28">
    <w:name w:val="Intense Quote Char"/>
    <w:qFormat/>
    <w:uiPriority w:val="30"/>
    <w:rPr>
      <w:i/>
    </w:rPr>
  </w:style>
  <w:style w:type="character" w:customStyle="1" w:styleId="29">
    <w:name w:val="Footnote Text Char"/>
    <w:qFormat/>
    <w:uiPriority w:val="99"/>
    <w:rPr>
      <w:sz w:val="18"/>
    </w:rPr>
  </w:style>
  <w:style w:type="character" w:customStyle="1" w:styleId="30">
    <w:name w:val="Endnote Text Char"/>
    <w:qFormat/>
    <w:uiPriority w:val="99"/>
    <w:rPr>
      <w:sz w:val="20"/>
    </w:rPr>
  </w:style>
  <w:style w:type="paragraph" w:customStyle="1" w:styleId="31">
    <w:name w:val="Heading 1"/>
    <w:basedOn w:val="1"/>
    <w:next w:val="1"/>
    <w:link w:val="32"/>
    <w:qFormat/>
    <w:uiPriority w:val="9"/>
    <w:pPr>
      <w:keepNext/>
      <w:keepLines/>
      <w:spacing w:before="480"/>
      <w:outlineLvl w:val="0"/>
    </w:pPr>
    <w:rPr>
      <w:rFonts w:ascii="Arial" w:hAnsi="Arial" w:eastAsia="Arial" w:cs="Arial"/>
      <w:sz w:val="40"/>
      <w:szCs w:val="40"/>
    </w:rPr>
  </w:style>
  <w:style w:type="character" w:customStyle="1" w:styleId="32">
    <w:name w:val="Heading 1 Char"/>
    <w:basedOn w:val="2"/>
    <w:link w:val="31"/>
    <w:qFormat/>
    <w:uiPriority w:val="9"/>
    <w:rPr>
      <w:rFonts w:ascii="Arial" w:hAnsi="Arial" w:eastAsia="Arial" w:cs="Arial"/>
      <w:sz w:val="40"/>
      <w:szCs w:val="40"/>
    </w:rPr>
  </w:style>
  <w:style w:type="paragraph" w:customStyle="1" w:styleId="33">
    <w:name w:val="Heading 2"/>
    <w:basedOn w:val="1"/>
    <w:next w:val="1"/>
    <w:link w:val="34"/>
    <w:unhideWhenUsed/>
    <w:qFormat/>
    <w:uiPriority w:val="9"/>
    <w:pPr>
      <w:keepNext/>
      <w:keepLines/>
      <w:spacing w:before="360"/>
      <w:outlineLvl w:val="1"/>
    </w:pPr>
    <w:rPr>
      <w:rFonts w:ascii="Arial" w:hAnsi="Arial" w:eastAsia="Arial" w:cs="Arial"/>
      <w:sz w:val="34"/>
    </w:rPr>
  </w:style>
  <w:style w:type="character" w:customStyle="1" w:styleId="34">
    <w:name w:val="Heading 2 Char"/>
    <w:basedOn w:val="2"/>
    <w:link w:val="33"/>
    <w:qFormat/>
    <w:uiPriority w:val="9"/>
    <w:rPr>
      <w:rFonts w:ascii="Arial" w:hAnsi="Arial" w:eastAsia="Arial" w:cs="Arial"/>
      <w:sz w:val="34"/>
    </w:rPr>
  </w:style>
  <w:style w:type="paragraph" w:customStyle="1" w:styleId="35">
    <w:name w:val="Heading 3"/>
    <w:basedOn w:val="1"/>
    <w:next w:val="1"/>
    <w:link w:val="36"/>
    <w:unhideWhenUsed/>
    <w:qFormat/>
    <w:uiPriority w:val="9"/>
    <w:pPr>
      <w:keepNext/>
      <w:keepLines/>
      <w:spacing w:before="320"/>
      <w:outlineLvl w:val="2"/>
    </w:pPr>
    <w:rPr>
      <w:rFonts w:ascii="Arial" w:hAnsi="Arial" w:eastAsia="Arial" w:cs="Arial"/>
      <w:sz w:val="30"/>
      <w:szCs w:val="30"/>
    </w:rPr>
  </w:style>
  <w:style w:type="character" w:customStyle="1" w:styleId="36">
    <w:name w:val="Heading 3 Char"/>
    <w:basedOn w:val="2"/>
    <w:link w:val="35"/>
    <w:qFormat/>
    <w:uiPriority w:val="9"/>
    <w:rPr>
      <w:rFonts w:ascii="Arial" w:hAnsi="Arial" w:eastAsia="Arial" w:cs="Arial"/>
      <w:sz w:val="30"/>
      <w:szCs w:val="30"/>
    </w:rPr>
  </w:style>
  <w:style w:type="paragraph" w:customStyle="1" w:styleId="37">
    <w:name w:val="Heading 4"/>
    <w:basedOn w:val="1"/>
    <w:next w:val="1"/>
    <w:link w:val="38"/>
    <w:unhideWhenUsed/>
    <w:qFormat/>
    <w:uiPriority w:val="9"/>
    <w:pPr>
      <w:keepNext/>
      <w:keepLines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4 Char"/>
    <w:basedOn w:val="2"/>
    <w:link w:val="37"/>
    <w:qFormat/>
    <w:uiPriority w:val="9"/>
    <w:rPr>
      <w:rFonts w:ascii="Arial" w:hAnsi="Arial" w:eastAsia="Arial" w:cs="Arial"/>
      <w:b/>
      <w:bCs/>
      <w:sz w:val="26"/>
      <w:szCs w:val="26"/>
    </w:rPr>
  </w:style>
  <w:style w:type="paragraph" w:customStyle="1" w:styleId="39">
    <w:name w:val="Heading 5"/>
    <w:basedOn w:val="1"/>
    <w:next w:val="1"/>
    <w:link w:val="40"/>
    <w:unhideWhenUsed/>
    <w:qFormat/>
    <w:uiPriority w:val="9"/>
    <w:pPr>
      <w:keepNext/>
      <w:keepLines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customStyle="1" w:styleId="40">
    <w:name w:val="Heading 5 Char"/>
    <w:basedOn w:val="2"/>
    <w:link w:val="39"/>
    <w:qFormat/>
    <w:uiPriority w:val="9"/>
    <w:rPr>
      <w:rFonts w:ascii="Arial" w:hAnsi="Arial" w:eastAsia="Arial" w:cs="Arial"/>
      <w:b/>
      <w:bCs/>
      <w:sz w:val="24"/>
      <w:szCs w:val="24"/>
    </w:rPr>
  </w:style>
  <w:style w:type="paragraph" w:customStyle="1" w:styleId="41">
    <w:name w:val="Heading 6"/>
    <w:basedOn w:val="1"/>
    <w:next w:val="1"/>
    <w:link w:val="42"/>
    <w:unhideWhenUsed/>
    <w:qFormat/>
    <w:uiPriority w:val="9"/>
    <w:pPr>
      <w:keepNext/>
      <w:keepLines/>
      <w:spacing w:before="320"/>
      <w:outlineLvl w:val="5"/>
    </w:pPr>
    <w:rPr>
      <w:rFonts w:ascii="Arial" w:hAnsi="Arial" w:eastAsia="Arial" w:cs="Arial"/>
      <w:b/>
      <w:bCs/>
    </w:rPr>
  </w:style>
  <w:style w:type="character" w:customStyle="1" w:styleId="42">
    <w:name w:val="Heading 6 Char"/>
    <w:basedOn w:val="2"/>
    <w:link w:val="41"/>
    <w:qFormat/>
    <w:uiPriority w:val="9"/>
    <w:rPr>
      <w:rFonts w:ascii="Arial" w:hAnsi="Arial" w:eastAsia="Arial" w:cs="Arial"/>
      <w:b/>
      <w:bCs/>
      <w:sz w:val="22"/>
      <w:szCs w:val="22"/>
    </w:rPr>
  </w:style>
  <w:style w:type="paragraph" w:customStyle="1" w:styleId="43">
    <w:name w:val="Heading 7"/>
    <w:basedOn w:val="1"/>
    <w:next w:val="1"/>
    <w:link w:val="44"/>
    <w:unhideWhenUsed/>
    <w:qFormat/>
    <w:uiPriority w:val="9"/>
    <w:pPr>
      <w:keepNext/>
      <w:keepLines/>
      <w:spacing w:before="320"/>
      <w:outlineLvl w:val="6"/>
    </w:pPr>
    <w:rPr>
      <w:rFonts w:ascii="Arial" w:hAnsi="Arial" w:eastAsia="Arial" w:cs="Arial"/>
      <w:b/>
      <w:bCs/>
      <w:i/>
      <w:iCs/>
    </w:rPr>
  </w:style>
  <w:style w:type="character" w:customStyle="1" w:styleId="44">
    <w:name w:val="Heading 7 Char"/>
    <w:basedOn w:val="2"/>
    <w:link w:val="43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5">
    <w:name w:val="Heading 8"/>
    <w:basedOn w:val="1"/>
    <w:next w:val="1"/>
    <w:link w:val="46"/>
    <w:unhideWhenUsed/>
    <w:qFormat/>
    <w:uiPriority w:val="9"/>
    <w:pPr>
      <w:keepNext/>
      <w:keepLines/>
      <w:spacing w:before="320"/>
      <w:outlineLvl w:val="7"/>
    </w:pPr>
    <w:rPr>
      <w:rFonts w:ascii="Arial" w:hAnsi="Arial" w:eastAsia="Arial" w:cs="Arial"/>
      <w:i/>
      <w:iCs/>
    </w:rPr>
  </w:style>
  <w:style w:type="character" w:customStyle="1" w:styleId="46">
    <w:name w:val="Heading 8 Char"/>
    <w:basedOn w:val="2"/>
    <w:link w:val="45"/>
    <w:qFormat/>
    <w:uiPriority w:val="9"/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Heading 9"/>
    <w:basedOn w:val="1"/>
    <w:next w:val="1"/>
    <w:link w:val="48"/>
    <w:unhideWhenUsed/>
    <w:qFormat/>
    <w:uiPriority w:val="9"/>
    <w:pPr>
      <w:keepNext/>
      <w:keepLines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Heading 9 Char"/>
    <w:basedOn w:val="2"/>
    <w:link w:val="47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9">
    <w:name w:val="No Spacing"/>
    <w:qFormat/>
    <w:uiPriority w:val="1"/>
    <w:rPr>
      <w:rFonts w:ascii="Times New Roman" w:hAnsi="Times New Roman" w:eastAsia="SimSun" w:cs="Times New Roman"/>
      <w:lang w:val="ru-RU" w:eastAsia="ru-RU" w:bidi="ar-SA"/>
    </w:rPr>
  </w:style>
  <w:style w:type="character" w:customStyle="1" w:styleId="50">
    <w:name w:val="Название Знак"/>
    <w:basedOn w:val="2"/>
    <w:link w:val="21"/>
    <w:qFormat/>
    <w:uiPriority w:val="10"/>
    <w:rPr>
      <w:sz w:val="48"/>
      <w:szCs w:val="48"/>
    </w:rPr>
  </w:style>
  <w:style w:type="character" w:customStyle="1" w:styleId="51">
    <w:name w:val="Подзаголовок Знак"/>
    <w:basedOn w:val="2"/>
    <w:link w:val="23"/>
    <w:qFormat/>
    <w:uiPriority w:val="11"/>
    <w:rPr>
      <w:sz w:val="24"/>
      <w:szCs w:val="24"/>
    </w:rPr>
  </w:style>
  <w:style w:type="paragraph" w:styleId="52">
    <w:name w:val="Quote"/>
    <w:basedOn w:val="1"/>
    <w:next w:val="1"/>
    <w:link w:val="53"/>
    <w:qFormat/>
    <w:uiPriority w:val="29"/>
    <w:pPr>
      <w:ind w:left="720" w:right="720"/>
    </w:pPr>
    <w:rPr>
      <w:i/>
    </w:rPr>
  </w:style>
  <w:style w:type="character" w:customStyle="1" w:styleId="53">
    <w:name w:val="Цитата 2 Знак"/>
    <w:link w:val="52"/>
    <w:qFormat/>
    <w:uiPriority w:val="29"/>
    <w:rPr>
      <w:i/>
    </w:rPr>
  </w:style>
  <w:style w:type="paragraph" w:styleId="54">
    <w:name w:val="Intense Quote"/>
    <w:basedOn w:val="1"/>
    <w:next w:val="1"/>
    <w:link w:val="55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5">
    <w:name w:val="Выделенная цитата Знак"/>
    <w:link w:val="54"/>
    <w:qFormat/>
    <w:uiPriority w:val="30"/>
    <w:rPr>
      <w:i/>
    </w:rPr>
  </w:style>
  <w:style w:type="character" w:customStyle="1" w:styleId="56">
    <w:name w:val="Header Char"/>
    <w:basedOn w:val="2"/>
    <w:link w:val="57"/>
    <w:qFormat/>
    <w:uiPriority w:val="99"/>
  </w:style>
  <w:style w:type="paragraph" w:customStyle="1" w:styleId="57">
    <w:name w:val="Header"/>
    <w:basedOn w:val="1"/>
    <w:link w:val="56"/>
    <w:semiHidden/>
    <w:unhideWhenUsed/>
    <w:qFormat/>
    <w:uiPriority w:val="99"/>
    <w:pPr>
      <w:tabs>
        <w:tab w:val="center" w:pos="4153"/>
        <w:tab w:val="right" w:pos="8306"/>
      </w:tabs>
    </w:pPr>
  </w:style>
  <w:style w:type="character" w:customStyle="1" w:styleId="58">
    <w:name w:val="Footer Char"/>
    <w:basedOn w:val="2"/>
    <w:qFormat/>
    <w:uiPriority w:val="99"/>
  </w:style>
  <w:style w:type="paragraph" w:customStyle="1" w:styleId="59">
    <w:name w:val="Caption"/>
    <w:basedOn w:val="1"/>
    <w:next w:val="1"/>
    <w:semiHidden/>
    <w:unhideWhenUsed/>
    <w:qFormat/>
    <w:uiPriority w:val="35"/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customStyle="1" w:styleId="60">
    <w:name w:val="Caption Char"/>
    <w:link w:val="61"/>
    <w:qFormat/>
    <w:uiPriority w:val="99"/>
  </w:style>
  <w:style w:type="paragraph" w:customStyle="1" w:styleId="61">
    <w:name w:val="Footer"/>
    <w:basedOn w:val="1"/>
    <w:link w:val="60"/>
    <w:semiHidden/>
    <w:unhideWhenUsed/>
    <w:qFormat/>
    <w:uiPriority w:val="99"/>
    <w:pPr>
      <w:tabs>
        <w:tab w:val="center" w:pos="4153"/>
        <w:tab w:val="right" w:pos="8306"/>
      </w:tabs>
    </w:pPr>
  </w:style>
  <w:style w:type="table" w:customStyle="1" w:styleId="62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Plain Table 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1Horz">
      <w:tcPr>
        <w:shd w:val="clear" w:color="FFFFFF" w:themeColor="text1" w:themeTint="00" w:fill="FFFFFF" w:themeFill="text1" w:themeFillTint="00"/>
      </w:tcPr>
    </w:tblStylePr>
  </w:style>
  <w:style w:type="table" w:customStyle="1" w:styleId="64">
    <w:name w:val="Plain Table 2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65">
    <w:name w:val="Plain Table 3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66">
    <w:name w:val="Plain Table 4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67">
    <w:name w:val="Plain Table 5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68">
    <w:name w:val="Grid Table 1 Light"/>
    <w:basedOn w:val="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9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0">
    <w:name w:val="Grid Table 1 Light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1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72">
    <w:name w:val="Grid Table 1 Light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73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74">
    <w:name w:val="Grid Table 1 Light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75">
    <w:name w:val="Grid Table 2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6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7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8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9">
    <w:name w:val="Grid Table 2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0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1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2">
    <w:name w:val="Grid Table 3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3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84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5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6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7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8">
    <w:name w:val="Grid Table 3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9">
    <w:name w:val="Grid Table 4"/>
    <w:basedOn w:val="3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90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91">
    <w:name w:val="Grid Table 4 - Accent 2"/>
    <w:basedOn w:val="3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92">
    <w:name w:val="Grid Table 4 - Accent 3"/>
    <w:basedOn w:val="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93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94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95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96">
    <w:name w:val="Grid Table 5 Dark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7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8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9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100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101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102">
    <w:name w:val="Grid Table 5 Dark - Accent 6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103">
    <w:name w:val="Grid Table 6 Colorful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5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6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  <w14:textFill>
          <w14:solidFill>
            <w14:schemeClr w14:val="accent3"/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fir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la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07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8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9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0">
    <w:name w:val="Grid Table 7 Colorful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1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2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3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14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5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6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17">
    <w:name w:val="List Table 1 Light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8">
    <w:name w:val="List Table 1 Light - Accent 1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9">
    <w:name w:val="List Table 1 Light - Accent 2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20">
    <w:name w:val="List Table 1 Light - Accent 3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21">
    <w:name w:val="List Table 1 Light - Accent 4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22">
    <w:name w:val="List Table 1 Light - Accent 5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23">
    <w:name w:val="List Table 1 Light - Accent 6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24">
    <w:name w:val="List Table 2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25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26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7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8">
    <w:name w:val="List Table 2 - Accent 4"/>
    <w:basedOn w:val="3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9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0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1">
    <w:name w:val="List Table 3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32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33">
    <w:name w:val="List Table 3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34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35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36">
    <w:name w:val="List Table 3 - Accent 5"/>
    <w:basedOn w:val="3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7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8">
    <w:name w:val="List Table 4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9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40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41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42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43">
    <w:name w:val="List Table 4 - Accent 5"/>
    <w:basedOn w:val="3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44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45">
    <w:name w:val="List Table 5 Dark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46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7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8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9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50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51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52">
    <w:name w:val="List Table 6 Colorful"/>
    <w:basedOn w:val="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53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4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5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6 Colorful - Accent 5"/>
    <w:basedOn w:val="3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9">
    <w:name w:val="List Table 7 Colorful"/>
    <w:basedOn w:val="3"/>
    <w:qFormat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60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1">
    <w:name w:val="List Table 7 Colorful - Accent 2"/>
    <w:basedOn w:val="3"/>
    <w:qFormat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2">
    <w:name w:val="List Table 7 Colorful - Accent 3"/>
    <w:basedOn w:val="3"/>
    <w:qFormat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3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st Table 7 Colorful - Accent 5"/>
    <w:basedOn w:val="3"/>
    <w:qFormat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5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6">
    <w:name w:val="Lined - Accent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167">
    <w:name w:val="Lined - Accent 1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8">
    <w:name w:val="Lined - Accent 2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9">
    <w:name w:val="Lined - Accent 3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0">
    <w:name w:val="Lined - Accent 4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1">
    <w:name w:val="Lined - Accent 5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2">
    <w:name w:val="Lined - Accent 6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3">
    <w:name w:val="Bordered &amp; Lined - Accent"/>
    <w:basedOn w:val="3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174">
    <w:name w:val="Bordered &amp; Lined - Accent 1"/>
    <w:basedOn w:val="3"/>
    <w:qFormat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75">
    <w:name w:val="Bordered &amp; Lined - Accent 2"/>
    <w:basedOn w:val="3"/>
    <w:qFormat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76">
    <w:name w:val="Bordered &amp; Lined - Accent 3"/>
    <w:basedOn w:val="3"/>
    <w:qFormat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7">
    <w:name w:val="Bordered &amp; Lined - Accent 4"/>
    <w:basedOn w:val="3"/>
    <w:qFormat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8">
    <w:name w:val="Bordered &amp; Lined - Accent 5"/>
    <w:basedOn w:val="3"/>
    <w:qFormat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9">
    <w:name w:val="Bordered &amp; Lined - Accent 6"/>
    <w:basedOn w:val="3"/>
    <w:qFormat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80">
    <w:name w:val="Bordered"/>
    <w:basedOn w:val="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1">
    <w:name w:val="Bordered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82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83">
    <w:name w:val="Bordered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84">
    <w:name w:val="Bordered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85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86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7">
    <w:name w:val="Текст сноски Знак"/>
    <w:link w:val="8"/>
    <w:qFormat/>
    <w:uiPriority w:val="99"/>
    <w:rPr>
      <w:sz w:val="18"/>
    </w:rPr>
  </w:style>
  <w:style w:type="character" w:customStyle="1" w:styleId="188">
    <w:name w:val="Текст концевой сноски Знак"/>
    <w:link w:val="7"/>
    <w:qFormat/>
    <w:uiPriority w:val="99"/>
    <w:rPr>
      <w:sz w:val="20"/>
    </w:rPr>
  </w:style>
  <w:style w:type="paragraph" w:customStyle="1" w:styleId="189">
    <w:name w:val="Заголовок оглавления1"/>
    <w:unhideWhenUsed/>
    <w:qFormat/>
    <w:uiPriority w:val="39"/>
    <w:rPr>
      <w:rFonts w:ascii="Times New Roman" w:hAnsi="Times New Roman" w:eastAsia="SimSun" w:cs="Times New Roman"/>
      <w:lang w:val="ru-RU" w:eastAsia="ru-RU" w:bidi="ar-SA"/>
    </w:rPr>
  </w:style>
  <w:style w:type="paragraph" w:styleId="190">
    <w:name w:val="List Paragraph"/>
    <w:basedOn w:val="1"/>
    <w:qFormat/>
    <w:uiPriority w:val="34"/>
    <w:pPr>
      <w:ind w:left="720"/>
      <w:contextualSpacing/>
    </w:pPr>
  </w:style>
  <w:style w:type="character" w:customStyle="1" w:styleId="191">
    <w:name w:val="Основной текст с отступом Знак"/>
    <w:basedOn w:val="2"/>
    <w:link w:val="20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192">
    <w:name w:val="font11"/>
    <w:qFormat/>
    <w:uiPriority w:val="0"/>
    <w:rPr>
      <w:rFonts w:hint="default" w:ascii="Times New Roman" w:hAnsi="Times New Roman" w:cs="Times New Roman"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CDE03-8A44-4E99-BC28-AE729EA56E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diakov.net</Company>
  <Pages>4</Pages>
  <Words>383</Words>
  <Characters>2396</Characters>
  <Lines>72</Lines>
  <Paragraphs>20</Paragraphs>
  <TotalTime>175</TotalTime>
  <ScaleCrop>false</ScaleCrop>
  <LinksUpToDate>false</LinksUpToDate>
  <CharactersWithSpaces>2760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2025-12-29T13:03:00Z</dcterms:created>
  <dc:creator>RePack by Diakov</dc:creator>
  <cp:lastModifiedBy>Guskova</cp:lastModifiedBy>
  <cp:lastPrinted>2026-07-03T10:29:01Z</cp:lastPrinted>
  <dcterms:modified xsi:type="dcterms:W3CDTF">2026-07-03T12:15:50Z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D5228AAC8B4448D591AB18DD7627C8CF_13</vt:lpwstr>
  </property>
  <property fmtid="{D5CDD505-2E9C-101B-9397-08002B2CF9AE}" pid="4" name="KSOTemplateDocerSaveRecord">
    <vt:lpwstr>eyJoZGlkIjoiY2ViYmFhNWYwYWIwODFlNTUyMTA1ZjI2Yzk3MzA2NmYifQ==</vt:lpwstr>
  </property>
</Properties>
</file>